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GovGlider CACOA Manual</w:t>
      </w:r>
    </w:p>
    <w:p>
      <w:r>
        <w:t xml:space="preserve">GovGlider is the public platform for the California Agency Chart of Accounts (CACOA). The website serves as the system of record, and this manual is generated directly from the published dataset.</w:t>
      </w:r>
    </w:p>
    <w:p>
      <w:r>
        <w:t xml:space="preserve">Current dataset summary: 136 funds, 62 departments, 67 functions, 153 objects.</w:t>
      </w:r>
    </w:p>
    <w:p>
      <w:r>
        <w:t xml:space="preserve">Release Warning: This manual was generated from a draft dataset. Mapping coverage may be incomplete.</w:t>
      </w:r>
    </w:p>
    <w:p>
      <w:pPr>
        <w:pStyle w:val="Heading1"/>
      </w:pPr>
      <w:r>
        <w:t xml:space="preserve">Manual Sections</w:t>
      </w:r>
    </w:p>
    <w:p>
      <w:pPr>
        <w:pStyle w:val="Heading2"/>
      </w:pPr>
      <w:r>
        <w:t xml:space="preserve">California Agency Chart of Accounts (CACOA)</w:t>
      </w:r>
    </w:p>
    <w:p>
      <w:r>
        <w:t xml:space="preserve">A Standards-Aligned, Flexible Framework for Public Agency Accounting and Reporting</w:t>
      </w:r>
    </w:p>
    <w:p>
      <w:pPr>
        <w:pStyle w:val="Heading2"/>
      </w:pPr>
      <w:r>
        <w:t xml:space="preserve">Prospectus</w:t>
      </w:r>
    </w:p>
    <w:p>
      <w:r>
        <w:t xml:space="preserve">Executive Summary</w:t>
      </w:r>
    </w:p>
    <w:p>
      <w:r>
        <w:t xml:space="preserve">California public agencies operate in an increasingly complex financial environment. Agencies must meet statutory reporting requirements, maintain GAAP compliance, support audits, respond to transparency demands, and manage operations with limited staffing and aging systems.The&amp;nbsp;California Agency Chart of Accounts (CACOA)&amp;nbsp;is a&amp;nbsp;voluntary, standards-aligned accounting framework&amp;nbsp;designed to address these challenges by providing a&amp;nbsp;shared structural foundation&amp;nbsp;for public-sector accounting—without requiring agencies to abandon local practices, systems, or professional judgment.</w:t>
      </w:r>
    </w:p>
    <w:p>
      <w:r>
        <w:t xml:space="preserve">CACOA is&amp;nbsp;not a mandate,&amp;nbsp;not a software product, and&amp;nbsp;not a replacement for GAAP.It is a&amp;nbsp;reference framework&amp;nbsp;that enables: &amp;nbsp;-&amp;nbsp;consistent classification of financial activity across agencies,</w:t>
      </w:r>
    </w:p>
    <w:p>
      <w:r>
        <w:t xml:space="preserve">&amp;nbsp;-&amp;nbsp;scalable adoption for agencies of varying size and complexity,</w:t>
      </w:r>
    </w:p>
    <w:p>
      <w:r>
        <w:t xml:space="preserve">&amp;nbsp;- explicit alignment with&amp;nbsp;California Financial Transaction Report (FTR)&amp;nbsp;requirements for&amp;nbsp;municipalities, and</w:t>
      </w:r>
    </w:p>
    <w:p>
      <w:r>
        <w:t xml:space="preserve">&amp;nbsp;-&amp;nbsp;compatibility with a broad range of&amp;nbsp;special districts and public agencies&amp;nbsp;not governed by the California Department of Education (CDE).</w:t>
      </w:r>
    </w:p>
    <w:p>
      <w:r>
        <w:t xml:space="preserve">CACOA is published under the MIT License, permitting free use, modification, and redistribution of the framework materials. The license does not apply to agency financial data or proprietary systems.</w:t>
      </w:r>
    </w:p>
    <w:p>
      <w:pPr>
        <w:pStyle w:val="Heading3"/>
      </w:pPr>
      <w:r>
        <w:t xml:space="preserve">Purpose and Scope</w:t>
      </w:r>
    </w:p>
    <w:p>
      <w:r>
        <w:t xml:space="preserve">The purpose of CACOA is to reduce fragmentation in public-sector accounting structures by providing a shared structural vocabulary that supports statutory reporting, budgeting, financial statements, management analysis, and public transparency. CACOA is designed as infrastructure rather than mandate.</w:t>
      </w:r>
    </w:p>
    <w:p>
      <w:r>
        <w:t xml:space="preserve">CACOA is intended for use by: &amp;nbsp;-&amp;nbsp;Cities and municipalities</w:t>
      </w:r>
    </w:p>
    <w:p>
      <w:r>
        <w:t xml:space="preserve">&amp;nbsp;-&amp;nbsp;Special districts (enterprise, governmental, fiduciary, and hybrid)</w:t>
      </w:r>
    </w:p>
    <w:p>
      <w:r>
        <w:t xml:space="preserve">&amp;nbsp;-&amp;nbsp;Joint powers authorities (JPAs)</w:t>
      </w:r>
    </w:p>
    <w:p>
      <w:r>
        <w:t xml:space="preserve">&amp;nbsp;-&amp;nbsp;Public agencies and authorities not subject to CDE/SACS requirements</w:t>
      </w:r>
    </w:p>
    <w:p>
      <w:r>
        <w:t xml:space="preserve">While CACOA is&amp;nbsp;designed to be broadly applicable, its&amp;nbsp;explicit reporting alignment&amp;nbsp;is limited as follows: &amp;nbsp;-&amp;nbsp;FTR mapping and validation are targeted specifically to municipalities</w:t>
      </w:r>
    </w:p>
    <w:p>
      <w:r>
        <w:t xml:space="preserve">&amp;nbsp;-&amp;nbsp;Non-municipal agencies may adopt CACOA structures without FTR mapping requirements</w:t>
      </w:r>
    </w:p>
    <w:p>
      <w:r>
        <w:t xml:space="preserve">This distinction is intentional and reflects the differing statutory reporting obligations across California public agencies.</w:t>
      </w:r>
    </w:p>
    <w:p>
      <w:pPr>
        <w:pStyle w:val="Heading3"/>
      </w:pPr>
      <w:r>
        <w:t xml:space="preserve">Relationship to GASB and GAAP</w:t>
      </w:r>
    </w:p>
    <w:p>
      <w:r>
        <w:t xml:space="preserve">CACOA is designed to&amp;nbsp;support, not define, accounting standards issued by the&amp;nbsp;Governmental Accounting Standards Board. Key Principles &amp;nbsp;- CACOA does&amp;nbsp;not&amp;nbsp;establish recognition, measurement, or disclosure rules</w:t>
      </w:r>
    </w:p>
    <w:p>
      <w:r>
        <w:t xml:space="preserve">&amp;nbsp;- CACOA does&amp;nbsp;not&amp;nbsp;supersede professional judgment</w:t>
      </w:r>
    </w:p>
    <w:p>
      <w:r>
        <w:t xml:space="preserve">&amp;nbsp;- CACOA provides&amp;nbsp;structural consistency&amp;nbsp;to help agencies apply GASB standards more effectively</w:t>
      </w:r>
    </w:p>
    <w:p>
      <w:r>
        <w:t xml:space="preserve">In other words: &amp;nbsp;- GASB defines&amp;nbsp;what&amp;nbsp;must be reported. &amp;nbsp;- CACOA provides a consistent way to&amp;nbsp;organize and report it. CACOA’s design reflects:&amp;nbsp;- fund accounting principles,</w:t>
      </w:r>
    </w:p>
    <w:p>
      <w:r>
        <w:t xml:space="preserve">&amp;nbsp;- measurement focus distinctions,</w:t>
      </w:r>
    </w:p>
    <w:p>
      <w:r>
        <w:t xml:space="preserve">&amp;nbsp;- legal and budgetary compliance realities, and</w:t>
      </w:r>
    </w:p>
    <w:p>
      <w:r>
        <w:t xml:space="preserve">&amp;nbsp;- common public-sector reporting structures.</w:t>
      </w:r>
    </w:p>
    <w:p>
      <w:r>
        <w:t xml:space="preserve">What CACOA Is (and Is Not)</w:t>
      </w:r>
    </w:p>
    <w:p>
      <w:r>
        <w:t xml:space="preserve">CACOA Is: &amp;nbsp;- A&amp;nbsp;multi-dimensional chart of accounts framework</w:t>
      </w:r>
    </w:p>
    <w:p>
      <w:r>
        <w:t xml:space="preserve">&amp;nbsp;- Object-centric and reporting-first</w:t>
      </w:r>
    </w:p>
    <w:p>
      <w:r>
        <w:t xml:space="preserve">&amp;nbsp;- Designed for&amp;nbsp;partial or full adoption</w:t>
      </w:r>
    </w:p>
    <w:p>
      <w:r>
        <w:t xml:space="preserve">&amp;nbsp;- Compatible with existing ERPs and local charts</w:t>
      </w:r>
    </w:p>
    <w:p>
      <w:r>
        <w:t xml:space="preserve">&amp;nbsp;- Extensible through reserved local ranges</w:t>
      </w:r>
    </w:p>
    <w:p>
      <w:r>
        <w:t xml:space="preserve">&amp;nbsp;- Transparent about unmapped or exceptional items</w:t>
      </w:r>
    </w:p>
    <w:p>
      <w:r>
        <w:t xml:space="preserve">CACOA Is Not: &amp;nbsp;- A mandated statewide chart</w:t>
      </w:r>
    </w:p>
    <w:p>
      <w:r>
        <w:t xml:space="preserve">&amp;nbsp;- A replacement for GASB or GAAP</w:t>
      </w:r>
    </w:p>
    <w:p>
      <w:r>
        <w:t xml:space="preserve">&amp;nbsp;- An ERP system</w:t>
      </w:r>
    </w:p>
    <w:p>
      <w:r>
        <w:t xml:space="preserve">&amp;nbsp;- A prescriptive posting manual</w:t>
      </w:r>
    </w:p>
    <w:p>
      <w:r>
        <w:t xml:space="preserve">&amp;nbsp;- A one-size-fits-all solution</w:t>
      </w:r>
    </w:p>
    <w:p>
      <w:pPr>
        <w:pStyle w:val="Heading3"/>
      </w:pPr>
      <w:r>
        <w:t xml:space="preserve">Core Design Philosophy</w:t>
      </w:r>
    </w:p>
    <w:p>
      <w:r>
        <w:t xml:space="preserve">1. Reporting-First, Not Posting-FirstCACOA recognizes that agencies post transactions differently due to: &amp;nbsp;- legacy systems,</w:t>
      </w:r>
    </w:p>
    <w:p>
      <w:r>
        <w:t xml:space="preserve">&amp;nbsp;-&amp;nbsp;historical practice,</w:t>
      </w:r>
    </w:p>
    <w:p>
      <w:r>
        <w:t xml:space="preserve">&amp;nbsp;-&amp;nbsp;operational needs, and</w:t>
      </w:r>
    </w:p>
    <w:p>
      <w:r>
        <w:t xml:space="preserve">&amp;nbsp;-&amp;nbsp;staffing constraints.</w:t>
      </w:r>
    </w:p>
    <w:p>
      <w:r>
        <w:t xml:space="preserve">Rather than forcing uniform posting behavior, CACOA prioritizes:&amp;nbsp;-&amp;nbsp;consistent reporting outcomes</w:t>
      </w:r>
    </w:p>
    <w:p>
      <w:r>
        <w:t xml:space="preserve">&amp;nbsp;-&amp;nbsp;transparent mapping</w:t>
      </w:r>
    </w:p>
    <w:p>
      <w:r>
        <w:t xml:space="preserve">&amp;nbsp;-&amp;nbsp;diagnostic visibility</w:t>
      </w:r>
    </w:p>
    <w:p>
      <w:r>
        <w:t xml:space="preserve">This allows agencies to achieve comparability without disrupting operations.</w:t>
      </w:r>
    </w:p>
    <w:p>
      <w:r>
        <w:t xml:space="preserve">2. Object-Centric Structure CACOA emphasizes standardized&amp;nbsp;object classifications&amp;nbsp;(assets, liabilities, equity, revenue, expenditures) as the primary driver of comparability. This approach: &amp;nbsp;-&amp;nbsp;mirrors successful elements of SACS object discipline,</w:t>
      </w:r>
    </w:p>
    <w:p>
      <w:r>
        <w:t xml:space="preserve">&amp;nbsp;-&amp;nbsp;supports FTR line mapping for municipalities,</w:t>
      </w:r>
    </w:p>
    <w:p>
      <w:r>
        <w:t xml:space="preserve">&amp;nbsp;-&amp;nbsp;allows flexibility in funds, departments, and functions.</w:t>
      </w:r>
    </w:p>
    <w:p>
      <w:r>
        <w:t xml:space="preserve">Objects provide the strongest anchor for statewide comparability while remaining intuitive to finance professionals.</w:t>
      </w:r>
    </w:p>
    <w:p>
      <w:r>
        <w:t xml:space="preserve">3. Multi-Dimensional and Extensible CACOA separates accounting dimensions into: &amp;nbsp;-&amp;nbsp;Funds</w:t>
      </w:r>
    </w:p>
    <w:p>
      <w:r>
        <w:t xml:space="preserve">&amp;nbsp;-&amp;nbsp;Objects</w:t>
      </w:r>
    </w:p>
    <w:p>
      <w:r>
        <w:t xml:space="preserve">&amp;nbsp;-&amp;nbsp;Functions</w:t>
      </w:r>
    </w:p>
    <w:p>
      <w:r>
        <w:t xml:space="preserve">&amp;nbsp;-&amp;nbsp;Departments</w:t>
      </w:r>
    </w:p>
    <w:p>
      <w:r>
        <w:t xml:space="preserve">&amp;nbsp;-&amp;nbsp;Reporting relationships</w:t>
      </w:r>
    </w:p>
    <w:p>
      <w:r>
        <w:t xml:space="preserve">This separation: &amp;nbsp;-&amp;nbsp;prevents overloading single codes with multiple meanings,</w:t>
      </w:r>
    </w:p>
    <w:p>
      <w:r>
        <w:t xml:space="preserve">&amp;nbsp;-&amp;nbsp;allows local extensions without breaking rollups,</w:t>
      </w:r>
    </w:p>
    <w:p>
      <w:r>
        <w:t xml:space="preserve">&amp;nbsp;-&amp;nbsp;supports future analytics and automation.</w:t>
      </w:r>
    </w:p>
    <w:p>
      <w:r>
        <w:t xml:space="preserve">Reserved ranges are intentionally included to accommodate: &amp;nbsp;-&amp;nbsp;agency-specific programs,</w:t>
      </w:r>
    </w:p>
    <w:p>
      <w:r>
        <w:t xml:space="preserve">&amp;nbsp;-&amp;nbsp;enterprise complexity,</w:t>
      </w:r>
    </w:p>
    <w:p>
      <w:r>
        <w:t xml:space="preserve">&amp;nbsp;-&amp;nbsp;regulatory nuance.</w:t>
      </w:r>
    </w:p>
    <w:p>
      <w:r>
        <w:t xml:space="preserve">4. Support for Reporting Profiles</w:t>
      </w:r>
    </w:p>
    <w:p>
      <w:r>
        <w:t xml:space="preserve">CACOA implements flexible reporting profiles:&amp;nbsp; &amp;nbsp;- Municipal FTR&amp;nbsp; &amp;nbsp;- Budget Development&amp;nbsp; &amp;nbsp;- ACFR/CAFR&amp;nbsp;&amp;nbsp; &amp;nbsp;- Custom Management/Operational Dashboarding.&amp;nbsp;</w:t>
      </w:r>
    </w:p>
    <w:p>
      <w:r>
        <w:t xml:space="preserve">Profiles define how accounts are grouped and presented for specific reporting purposes and are reusable and transferable across agencies. Each profile emphasizes unique group-level analytics, dashboarding, cost center analysis, and benchmarking.</w:t>
      </w:r>
    </w:p>
    <w:p>
      <w:r>
        <w:t xml:space="preserve">5.&amp;nbsp;Transferability and Shared Reporting Reporting profiles, rollups, custom SQL may be shared across agencies without requiring identical charts of accounts. This enables peer benchmarking, shared dashboards, and reusable reporting logic while preserving local control.</w:t>
      </w:r>
    </w:p>
    <w:p>
      <w:pPr>
        <w:pStyle w:val="Heading3"/>
      </w:pPr>
      <w:r>
        <w:t xml:space="preserve">Implementation Options</w:t>
      </w:r>
    </w:p>
    <w:p>
      <w:r>
        <w:t xml:space="preserve">CACOA is designed to be adopted incrementally.</w:t>
      </w:r>
    </w:p>
    <w:p>
      <w:r>
        <w:t xml:space="preserve">1. Minimal Adoption (Rollup-Only) Description &amp;nbsp;- Retain existing chart of accounts</w:t>
      </w:r>
    </w:p>
    <w:p>
      <w:r>
        <w:t xml:space="preserve">&amp;nbsp;- Map local accounts to CACOA objects and categories</w:t>
      </w:r>
    </w:p>
    <w:p>
      <w:r>
        <w:t xml:space="preserve">&amp;nbsp;- Produce standardized reports without changing posting practices</w:t>
      </w:r>
    </w:p>
    <w:p>
      <w:r>
        <w:t xml:space="preserve">Best For &amp;nbsp;- Small agencies</w:t>
      </w:r>
    </w:p>
    <w:p>
      <w:r>
        <w:t xml:space="preserve">&amp;nbsp;- Agencies in audit backlog</w:t>
      </w:r>
    </w:p>
    <w:p>
      <w:r>
        <w:t xml:space="preserve">&amp;nbsp;- Initial pilots</w:t>
      </w:r>
    </w:p>
    <w:p>
      <w:r>
        <w:t xml:space="preserve">Benefits &amp;nbsp;- No operational disruption</w:t>
      </w:r>
    </w:p>
    <w:p>
      <w:r>
        <w:t xml:space="preserve">&amp;nbsp;- Immediate reporting improvements</w:t>
      </w:r>
    </w:p>
    <w:p>
      <w:r>
        <w:t xml:space="preserve">&amp;nbsp;- Low implementation cost</w:t>
      </w:r>
    </w:p>
    <w:p>
      <w:r>
        <w:t xml:space="preserve">2. Mapped (Hybrid) Adoption Description &amp;nbsp;- Existing chart remains active</w:t>
      </w:r>
    </w:p>
    <w:p>
      <w:r>
        <w:t xml:space="preserve">&amp;nbsp;- New accounts follow CACOA where practical</w:t>
      </w:r>
    </w:p>
    <w:p>
      <w:r>
        <w:t xml:space="preserve">&amp;nbsp;- Legacy accounts mapped via rules</w:t>
      </w:r>
    </w:p>
    <w:p>
      <w:r>
        <w:t xml:space="preserve">&amp;nbsp;- Validation highlights unmapped or ambiguous items</w:t>
      </w:r>
    </w:p>
    <w:p>
      <w:r>
        <w:t xml:space="preserve">Best For &amp;nbsp;- Mid-sized agencies</w:t>
      </w:r>
    </w:p>
    <w:p>
      <w:r>
        <w:t xml:space="preserve">&amp;nbsp;- Agencies preparing for system changes</w:t>
      </w:r>
    </w:p>
    <w:p>
      <w:r>
        <w:t xml:space="preserve">&amp;nbsp;- Agencies seeking gradual standardization</w:t>
      </w:r>
    </w:p>
    <w:p>
      <w:r>
        <w:t xml:space="preserve">3. Full Structural Adoption Description &amp;nbsp;- CACOA becomes the primary chart</w:t>
      </w:r>
    </w:p>
    <w:p>
      <w:r>
        <w:t xml:space="preserve">&amp;nbsp;- Local detail implemented within reserved ranges</w:t>
      </w:r>
    </w:p>
    <w:p>
      <w:r>
        <w:t xml:space="preserve">&amp;nbsp;- Validation rules enforce consistency</w:t>
      </w:r>
    </w:p>
    <w:p>
      <w:r>
        <w:t xml:space="preserve">&amp;nbsp;- FTR reporting largely automated for municipalities</w:t>
      </w:r>
    </w:p>
    <w:p>
      <w:r>
        <w:t xml:space="preserve">Best For</w:t>
      </w:r>
    </w:p>
    <w:p>
      <w:r>
        <w:t xml:space="preserve">&amp;nbsp;- Large cities</w:t>
      </w:r>
    </w:p>
    <w:p>
      <w:r>
        <w:t xml:space="preserve">&amp;nbsp;- New agencies</w:t>
      </w:r>
    </w:p>
    <w:p>
      <w:r>
        <w:t xml:space="preserve">&amp;nbsp;- ERP implementations</w:t>
      </w:r>
    </w:p>
    <w:p>
      <w:pPr>
        <w:pStyle w:val="Heading3"/>
      </w:pPr>
      <w:r>
        <w:t xml:space="preserve">Handling Real-World and Non-Standard Practices</w:t>
      </w:r>
    </w:p>
    <w:p>
      <w:r>
        <w:t xml:space="preserve">CACOA explicitly acknowledges that many legitimate practices do not fit neatly into textbook examples.</w:t>
      </w:r>
    </w:p>
    <w:p>
      <w:r>
        <w:t xml:space="preserve">Event-Based Accounting</w:t>
      </w:r>
    </w:p>
    <w:p>
      <w:r>
        <w:t xml:space="preserve">Some agencies track events (festivals, emergencies, special programs) as unique objects.</w:t>
      </w:r>
    </w:p>
    <w:p>
      <w:r>
        <w:t xml:space="preserve">CACOA approach: &amp;nbsp;- Treats events as&amp;nbsp;management or program dimensions, not object classes</w:t>
      </w:r>
    </w:p>
    <w:p>
      <w:r>
        <w:t xml:space="preserve">&amp;nbsp;- Recommends retaining standard expenditure objects</w:t>
      </w:r>
    </w:p>
    <w:p>
      <w:r>
        <w:t xml:space="preserve">&amp;nbsp;- Allows mapping and exception documentation where event-specific objects exist</w:t>
      </w:r>
    </w:p>
    <w:p>
      <w:r>
        <w:t xml:space="preserve">Development and Balance-Sheet-Driven Activity</w:t>
      </w:r>
    </w:p>
    <w:p>
      <w:r>
        <w:t xml:space="preserve">Common examples include: &amp;nbsp;- developer deposits recorded as liabilities,</w:t>
      </w:r>
    </w:p>
    <w:p>
      <w:r>
        <w:t xml:space="preserve">&amp;nbsp;- reimbursements drawn down from balance sheet accounts,</w:t>
      </w:r>
    </w:p>
    <w:p>
      <w:r>
        <w:t xml:space="preserve">&amp;nbsp;- trust-like or pass-through arrangements.</w:t>
      </w:r>
    </w:p>
    <w:p>
      <w:r>
        <w:t xml:space="preserve">CACOA approach: &amp;nbsp;- Recognizes these practices as potentially GAAP-compliant</w:t>
      </w:r>
    </w:p>
    <w:p>
      <w:r>
        <w:t xml:space="preserve">&amp;nbsp;- Supports explicit balance sheet object classes</w:t>
      </w:r>
    </w:p>
    <w:p>
      <w:r>
        <w:t xml:space="preserve">&amp;nbsp;- Uses documented exception handling rather than forced reclassification</w:t>
      </w:r>
    </w:p>
    <w:p>
      <w:r>
        <w:t xml:space="preserve">&amp;nbsp;- Preserves transparency for audit and reporting review</w:t>
      </w:r>
    </w:p>
    <w:p>
      <w:r>
        <w:t xml:space="preserve">FTR Alignment (Municipalities Only)</w:t>
      </w:r>
    </w:p>
    <w:p>
      <w:r>
        <w:t xml:space="preserve">For cities and municipalities, CACOA includes: &amp;nbsp;- explicit object-to-FTR line mappings,</w:t>
      </w:r>
    </w:p>
    <w:p>
      <w:r>
        <w:t xml:space="preserve">&amp;nbsp;- validation rules for coverage,</w:t>
      </w:r>
    </w:p>
    <w:p>
      <w:r>
        <w:t xml:space="preserve">&amp;nbsp;- draft vs finalized reporting states,</w:t>
      </w:r>
    </w:p>
    <w:p>
      <w:r>
        <w:t xml:space="preserve">&amp;nbsp;- diagnostic views identifying unmapped activity.</w:t>
      </w:r>
    </w:p>
    <w:p>
      <w:r>
        <w:t xml:space="preserve">For non-municipal agencies: &amp;nbsp;- CACOA structures remain valid</w:t>
      </w:r>
    </w:p>
    <w:p>
      <w:r>
        <w:t xml:space="preserve">&amp;nbsp;- FTR mapping is optional and not enforced</w:t>
      </w:r>
    </w:p>
    <w:p>
      <w:r>
        <w:t xml:space="preserve">This distinction ensures relevance without overextension.</w:t>
      </w:r>
    </w:p>
    <w:p>
      <w:pPr>
        <w:pStyle w:val="Heading3"/>
      </w:pPr>
      <w:r>
        <w:t xml:space="preserve">Ancillary Benefits</w:t>
      </w:r>
    </w:p>
    <w:p>
      <w:r>
        <w:t xml:space="preserve">Beyond compliance, CACOA provides significant organizational value.</w:t>
      </w:r>
    </w:p>
    <w:p>
      <w:r>
        <w:t xml:space="preserve">Workforce Mobility and Training &amp;nbsp;- Familiar structures across agencies</w:t>
      </w:r>
    </w:p>
    <w:p>
      <w:r>
        <w:t xml:space="preserve">&amp;nbsp;- Reduced onboarding time</w:t>
      </w:r>
    </w:p>
    <w:p>
      <w:r>
        <w:t xml:space="preserve">&amp;nbsp;- Transferable skills for staff</w:t>
      </w:r>
    </w:p>
    <w:p>
      <w:r>
        <w:t xml:space="preserve">Recruitment and Retention &amp;nbsp;- Clear, professional accounting frameworks</w:t>
      </w:r>
    </w:p>
    <w:p>
      <w:r>
        <w:t xml:space="preserve">&amp;nbsp;- Reduced dependence on institutional memory</w:t>
      </w:r>
    </w:p>
    <w:p>
      <w:r>
        <w:t xml:space="preserve">&amp;nbsp;- Improved succession planning</w:t>
      </w:r>
    </w:p>
    <w:p>
      <w:r>
        <w:t xml:space="preserve">Transparency and Public Trust &amp;nbsp;- Comparable reporting across agencies</w:t>
      </w:r>
    </w:p>
    <w:p>
      <w:r>
        <w:t xml:space="preserve">&amp;nbsp;- Improved interpretability for policymakers and the public</w:t>
      </w:r>
    </w:p>
    <w:p>
      <w:r>
        <w:t xml:space="preserve">&amp;nbsp;- Stronger foundation for open data initiatives</w:t>
      </w:r>
    </w:p>
    <w:p>
      <w:pPr>
        <w:pStyle w:val="Heading3"/>
      </w:pPr>
      <w:r>
        <w:t xml:space="preserve">Conclusion</w:t>
      </w:r>
    </w:p>
    <w:p>
      <w:r>
        <w:t xml:space="preserve">The California Agency Chart of Accounts is designed to be:&amp;nbsp;- Practical&amp;nbsp;for agencies of all sizes</w:t>
      </w:r>
    </w:p>
    <w:p>
      <w:r>
        <w:t xml:space="preserve">&amp;nbsp;-&amp;nbsp;Aligned&amp;nbsp;with GASB principles</w:t>
      </w:r>
    </w:p>
    <w:p>
      <w:r>
        <w:t xml:space="preserve">&amp;nbsp;-&amp;nbsp;Explicit&amp;nbsp;where statutory reporting applies</w:t>
      </w:r>
    </w:p>
    <w:p>
      <w:r>
        <w:t xml:space="preserve">&amp;nbsp;-&amp;nbsp;Flexible&amp;nbsp;where professional judgment is required</w:t>
      </w:r>
    </w:p>
    <w:p>
      <w:r>
        <w:t xml:space="preserve">CACOA does not seek to eliminate local nuance.It seeks to make that nuance&amp;nbsp;visible, understandable, and reportable&amp;nbsp;within a shared framework.</w:t>
      </w:r>
    </w:p>
    <w:p>
      <w:r>
        <w:t xml:space="preserve">Adoption can begin at any level and mature over time, allowing California public agencies to move toward greater consistency without sacrificing clarity or control.</w:t>
      </w:r>
    </w:p>
    <w:p>
      <w:pPr>
        <w:pStyle w:val="Heading2"/>
      </w:pPr>
      <w:r>
        <w:t xml:space="preserve">SCO Alignment</w:t>
      </w:r>
    </w:p>
    <w:p>
      <w:r>
        <w:t xml:space="preserve">This part of the CACOA Manual provides comprehensive, textbook-level guidance on alignment with the California State Controller’s Office (SCO) Financial Transactions Report (FTR). Each chapter mirrors the FTR structure and explains statutory intent, accounting rationale, CACOA implementation guidance, common pitfalls, and audit considerations.</w:t>
      </w:r>
    </w:p>
    <w:p>
      <w:pPr>
        <w:pStyle w:val="Heading3"/>
      </w:pPr>
      <w:r>
        <w:t xml:space="preserve">1 – Overview of the Financial Transactions Report (FTR)</w:t>
      </w:r>
    </w:p>
    <w:p>
      <w:r>
        <w:t xml:space="preserve">This chapter provides comprehensive, textbook-level guidance on the California State Controller’s Office (SCO) Financial Transactions Report (FTR). It establishes the statutory purpose of the FTR, explains how the report is used by state agencies and the public, and describes how the California Agency Chart of Accounts (CACOA) is intentionally designed to align with — but not replace — FTR reporting.</w:t>
      </w:r>
    </w:p>
    <w:p>
      <w:r>
        <w:t xml:space="preserve">1.1 Statutory Authority and Purpose of the FTR The Financial Transactions Report (FTR) is authorized under California law and administered by the State Controller’s Office as the primary mechanism for collecting standardized financial data from California municipalities. The FTR is designed to support statewide fiscal monitoring, legislative analysis, intergovernmental comparisons, and public transparency. Unlike audited financial statements, which focus on fair presentation in accordance with GAAP, the FTR emphasizes uniform classification and comparability. Its objective is not to replicate local financial statements, but to normalize financial activity across diverse accounting systems into a common analytical framework.</w:t>
      </w:r>
    </w:p>
    <w:p>
      <w:r>
        <w:t xml:space="preserve">1.2 Intended Users and Uses of the FTR FTR data is used by a broad range of stakeholders, including the Legislature, Department of Finance, bond analysts, researchers, journalists, and the general public. These users rely on consistent classification to evaluate fiscal trends, compare municipalities, and assess financial condition. Because users do not have access to local charts of accounts or internal accounting policies, clarity and consistency in FTR classification are critical. CACOA is designed to preserve this consistency while allowing agencies to retain local flexibility.</w:t>
      </w:r>
    </w:p>
    <w:p>
      <w:r>
        <w:t xml:space="preserve">1.3 Relationship to GASB and Audited Financial Statements The FTR does not supersede GASB standards or replace audited financial statements. GASB standards govern recognition, measurement, and presentation for financial reporting, while the FTR governs classification for statewide data collection. Differences between audited financial statements and FTR totals may arise due to timing, reclassification, or consolidation differences. CACOA explicitly supports reconciliation between local ledgers, audited statements, and FTR submissions by maintaining traceable mappings.</w:t>
      </w:r>
    </w:p>
    <w:p>
      <w:r>
        <w:t xml:space="preserve">1.4 Structural Organization of the FTR The FTR is organized around a small number of core dimensions: fund, revenue classification, expenditure function, expenditure object, other financing sources and uses, and balance sheet elements. Each dimension serves a distinct analytical purpose. The FTR structure intentionally limits dimensional complexity to promote comparability. CACOA respects these constraints by applying additional analytical dimensions only at the reporting and management layers.</w:t>
      </w:r>
    </w:p>
    <w:p>
      <w:r>
        <w:t xml:space="preserve">1.5 CACOA’s Alignment Philosophy CACOA is designed as a translation and alignment framework rather than a prescriptive accounting system. Agencies are not required to abandon their existing charts of accounts to achieve FTR compliance. Instead, CACOA provides standardized object definitions, fund structures, functional guidance, and rollup logic that can be applied to existing data. This approach lowers adoption barriers and supports incremental implementation.</w:t>
      </w:r>
    </w:p>
    <w:p>
      <w:r>
        <w:t xml:space="preserve">1.6 Common Misconceptions About the FTR A common misconception is that the FTR represents a full financial statement or audit substitute. In reality, the FTR is a statistical and analytical report that complements, but does not replace, audited financial reporting. Another misconception is that agencies must restructure their accounting systems to match the FTR. CACOA demonstrates that alignment can be achieved through mapping and rollups without disrupting local operations.</w:t>
      </w:r>
    </w:p>
    <w:p>
      <w:r>
        <w:t xml:space="preserve">1.7 Role of CACOA in Statewide Standardization CACOA provides a consistent reference structure that can be adopted voluntarily across agencies. By aligning CACOA structures with the FTR, agencies gain a shared vocabulary for financial reporting, training, benchmarking, and system design. Over time, consistent CACOA adoption can reduce the cost of onboarding staff, improve data quality, and enable more advanced statewide analysis without imposing mandates.</w:t>
      </w:r>
    </w:p>
    <w:p>
      <w:r>
        <w:t xml:space="preserve">1.8 Citations and References • California State Controller’s Office – Financial Transactions Report Instructions • California Government Code Sections governing municipal reporting • GASB Concepts Statement No. 1 – Objectives of Financial Reporting</w:t>
      </w:r>
    </w:p>
    <w:p>
      <w:pPr>
        <w:pStyle w:val="Heading3"/>
      </w:pPr>
      <w:r>
        <w:t xml:space="preserve">2 – Fund Structure and Fund Reporting in the FTR</w:t>
      </w:r>
    </w:p>
    <w:p>
      <w:r>
        <w:t xml:space="preserve">This chapter provides comprehensive guidance on fund structure and fund reporting under the California State Controller’s Office (SCO) Financial Transactions Report (FTR). It explains the central role of funds in statutory reporting, the relationship between funds and other accounting dimensions, and how the California Agency Chart of Accounts (CACOA) supports compliant, flexible, and auditable fund reporting.</w:t>
      </w:r>
    </w:p>
    <w:p>
      <w:r>
        <w:t xml:space="preserve">2.1 The Fund as the Primary Accountability Unit In governmental accounting, the fund is the primary unit of fiscal accountability. Each fund represents a self-balancing set of accounts established to demonstrate legal compliance, financial stewardship, and operational accountability. The FTR is explicitly fund-centric. All revenues, expenditures, assets, liabilities, other financing sources and uses, and fund balances are reported within a fund context. There is no concept of cross-fund netting or functional fund balances in statutory reporting.</w:t>
      </w:r>
    </w:p>
    <w:p>
      <w:r>
        <w:t xml:space="preserve">2.2 Statutory and Reporting Expectations in the FTR The SCO’s FTR instructions require agencies to report financial activity by individual fund, using standardized fund groupings for statewide analysis. These groupings distinguish among governmental, proprietary, fiduciary, and other fund types. The FTR does not prescribe how agencies must structure their internal fund numbering systems. Instead, it requires that reported data be classified consistently for comparability across jurisdictions.</w:t>
      </w:r>
    </w:p>
    <w:p>
      <w:r>
        <w:t xml:space="preserve">2.3 CACOA Fund Coding Structure CACOA adopts a three-digit base fund coding structure to balance simplicity with scalability. This structure accommodates common municipal fund types while allowing larger agencies to extend fund codes for additional granularity without breaking rollup logic. CACOA fund codes are intentionally neutral with respect to internal system design. Agencies may retain legacy fund numbers while mapping them to CACOA fund identifiers for reporting.</w:t>
      </w:r>
    </w:p>
    <w:p>
      <w:r>
        <w:t xml:space="preserve">2.4 Fund Rollups and Reporting Views Fund rollups are a core CACOA concept. A rollup is a defined aggregation of multiple funds for a specific reporting purpose. Rollups do not alter legal fund accounting and do not replace individual fund reporting. CACOA supports multiple concurrent rollups, such as governmental funds for FTR reporting, enterprise fund groupings for rate analysis, or management-defined groupings for budgeting.</w:t>
      </w:r>
    </w:p>
    <w:p>
      <w:r>
        <w:t xml:space="preserve">2.5 When to Create a Separate Fund A separate fund should be established when required by law, regulation, bond covenant, or when necessary to demonstrate accountability for restricted or committed resources. Common triggers for separate funds include legally restricted revenues, voter-approved taxes, grant requirements, rate-based activities, or material fiduciary responsibilities.</w:t>
      </w:r>
    </w:p>
    <w:p>
      <w:r>
        <w:t xml:space="preserve">2.6 Fund vs Function vs Department Confusion among funds, functions, and departments is a common source of reporting error. Funds represent accountability for resources, functions represent the purpose of spending, and departments represent organizational responsibility. CACOA explicitly discourages using functions or departments to simulate fund restrictions or fund balance segregation. Separate funds should be used when accountability requires it.</w:t>
      </w:r>
    </w:p>
    <w:p>
      <w:r>
        <w:t xml:space="preserve">2.7 Real-World Examples Example 1 – General Fund vs Special Revenue Fund: A city receiving a voter-approved public safety sales tax should establish a special revenue fund if the proceeds are legally restricted. Recording the revenue in the General Fund with a public safety function does not provide adequate accountability for statutory reporting. Example 2 – Enterprise Utility Funds: Water and sewer operations are typically reported in separate enterprise funds. CACOA allows these funds to be grouped for FTR reporting while preserving individual fund integrity for rate-setting and bond compliance.</w:t>
      </w:r>
    </w:p>
    <w:p>
      <w:r>
        <w:t xml:space="preserve">2.8 Common Errors and CACOA Diagnostics Common errors include excessive fund proliferation, using departments to mimic funds, and inconsistent fund definitions across reporting periods. CACOA diagnostics identify unmapped funds, incomplete rollups, and inconsistencies prior to FTR submission.</w:t>
      </w:r>
    </w:p>
    <w:p>
      <w:r>
        <w:t xml:space="preserve">2.9 Audit and Reconciliation Considerations Auditors evaluate fund structure for consistency, legal compliance, and clarity. CACOA supports audit review by preserving traceability from individual fund activity to FTR rollups and audited financial statements.</w:t>
      </w:r>
    </w:p>
    <w:p>
      <w:r>
        <w:t xml:space="preserve">2.10 Citations and References • California State Controller’s Office – Financial Transactions Report Instructions • GASB Statement No. 34 – Basic Financial Statements • GASB Concepts Statement No. 1 – Objectives of Financial Reporting</w:t>
      </w:r>
    </w:p>
    <w:p>
      <w:pPr>
        <w:pStyle w:val="Heading3"/>
      </w:pPr>
      <w:r>
        <w:t xml:space="preserve">3 – Revenue Reporting in the Financial Transactions Report (FTR)</w:t>
      </w:r>
    </w:p>
    <w:p>
      <w:r>
        <w:t xml:space="preserve">This chapter provides comprehensive, textbook-level guidance on revenue reporting under the California State Controller’s Office (SCO) Financial Transactions Report (FTR). It explains statutory expectations, GASB alignment, CACOA revenue object structure, and appropriate analytical treatment of revenues for both statutory and management reporting.</w:t>
      </w:r>
    </w:p>
    <w:p>
      <w:r>
        <w:t xml:space="preserve">3.1 Purpose and Scope of Revenue Reporting in the FTR Revenue reporting in the FTR is designed to identify the source, legal character, and economic nature of inflows to a governmental entity. The FTR emphasizes comparability across jurisdictions by standardizing revenue classifications while allowing agencies to retain local detail internally. Revenues are reported by fund and revenue classification. Functional classification is not applied to revenues in the FTR, reflecting the principle that revenues describe sources of financing rather than purposes of spending.</w:t>
      </w:r>
    </w:p>
    <w:p>
      <w:r>
        <w:t xml:space="preserve">3.2 Relationship to GASB Revenue Recognition Standards GASB standards govern when and how revenues are recognized, while the FTR governs how recognized revenues are classified for statewide reporting. GASB Statement No. 33 establishes the framework for recognizing nonexchange revenues, including taxes and intergovernmental revenues. CACOA respects GASB recognition principles by separating recognition and measurement from classification. Revenue objects and rollups are applied at the reporting layer and do not alter GAAP-based accounting.</w:t>
      </w:r>
    </w:p>
    <w:p>
      <w:r>
        <w:t xml:space="preserve">3.3 CACOA Revenue Object Structure and FTR Alignment CACOA revenue objects are organized within the 3000–3999 range and mapped directly to FTR revenue lines. Objects distinguish among major categories such as taxes, licenses and permits, intergovernmental revenues, charges for services, fines and forfeitures, use of money and property, and other revenues. This structure ensures deterministic rollups to FTR categories while allowing agencies to define additional local detail beneath standardized object classes.</w:t>
      </w:r>
    </w:p>
    <w:p>
      <w:r>
        <w:t xml:space="preserve">3.4 General Revenues vs Program Revenues GASB Statement No. 34 distinguishes between general revenues and program revenues for government-wide financial reporting. While the FTR does not require explicit identification of program revenues, understanding this distinction is critical for consistent reporting. CACOA supports program revenue analysis through analytical linkages rather than functional revenue posting, preserving statutory compliance while enabling meaningful internal reporting.</w:t>
      </w:r>
    </w:p>
    <w:p>
      <w:r>
        <w:t xml:space="preserve">3.5 Functional Revenue: Prohibition and Management Alternatives Functional classification describes the purpose of expenditures and is not a statutory dimension for revenue reporting. Assigning revenues to functions can obscure legal restrictions and distort fund-level accountability. CACOA prohibits functional revenue classification in the FTR profile. Agencies seeking functional revenue analysis for management purposes should use program codes, grant identifiers, or reporting views rather than ledger postings.</w:t>
      </w:r>
    </w:p>
    <w:p>
      <w:r>
        <w:t xml:space="preserve">3.6 When to Use Separate Funds for Revenue Accountability Separate funds should be used when revenues are legally restricted, voter-approved, rate-based, or otherwise require discrete accountability. Using functional revenue coding as a substitute for separate funds is discouraged. CACOA provides guidance for identifying when fund segregation is appropriate and supports rollups to maintain comparability without sacrificing accountability.</w:t>
      </w:r>
    </w:p>
    <w:p>
      <w:r>
        <w:t xml:space="preserve">3.7 Real-World Examples Example 1 – Property Tax Revenue (General Fund): Property tax revenues are recorded in the General Fund using the appropriate revenue object. No functional classification is applied. Expenditures funded by property taxes are later reported by function in the expenditure section of the FTR. Example 2 – Grant-Funded Program: Grant revenues are recorded in the applicable fund using intergovernmental revenue objects. Expenditures are charged to the appropriate functions and objects. Program-level analysis links revenues and expenditures analytically. Example 3 – Enterprise Utility Charges: Charges for water or sewer services are recorded in enterprise funds using charges-for-services objects. No functional revenue classification is applied. Functional analysis may occur at the expenditure level for management purposes.</w:t>
      </w:r>
    </w:p>
    <w:p>
      <w:r>
        <w:t xml:space="preserve">3.8 Common Errors and CACOA Diagnostics Common revenue reporting errors include misclassifying transfers as revenues, embedding functional meaning in revenue objects, and using revenue classification to simulate fund restrictions. CACOA diagnostics identify these issues prior to FTR submission.</w:t>
      </w:r>
    </w:p>
    <w:p>
      <w:r>
        <w:t xml:space="preserve">3.9 Audit and Reconciliation Considerations Auditors evaluate revenue classification for consistency, legal compliance, and reconciliation to audited financial statements. CACOA preserves traceability from detailed revenue objects to FTR rollups and GASB-based disclosures.</w:t>
      </w:r>
    </w:p>
    <w:p>
      <w:r>
        <w:t xml:space="preserve">3.10 Citations and References • California State Controller’s Office – Financial Transactions Report Instructions • GASB Statement No. 33 – Accounting and Financial Reporting for Nonexchange Transactions • GASB Statement No. 34 – Basic Financial Statements and Management’s Discussion and Analysis</w:t>
      </w:r>
    </w:p>
    <w:p>
      <w:pPr>
        <w:pStyle w:val="Heading3"/>
      </w:pPr>
      <w:r>
        <w:t xml:space="preserve">4 – Expenditure Reporting in the Financial Transactions Report (FTR)</w:t>
      </w:r>
    </w:p>
    <w:p>
      <w:r>
        <w:t xml:space="preserve">This chapter provides comprehensive, textbook-level guidance on expenditure reporting under the California State Controller’s Office (SCO) Financial Transactions Report (FTR). It explains the statutory role of functional and object classification, how expenditures differ from revenues and balance sheet activity, and how the California Agency Chart of Accounts (CACOA) supports compliant, flexible, and auditable expenditure reporting.</w:t>
      </w:r>
    </w:p>
    <w:p>
      <w:r>
        <w:t xml:space="preserve">4.1 Purpose and Scope of Expenditure Reporting in the FTR Expenditure reporting in the FTR is designed to answer two fundamental questions: why resources were spent and what was acquired. These questions are addressed through the combined use of functional and object classifications. Unlike revenue reporting, functional classification is mandatory for expenditures in the FTR. This requirement reflects the central role of expenditure data in evaluating service delivery, policy priorities, and cost structures across municipalities.</w:t>
      </w:r>
    </w:p>
    <w:p>
      <w:r>
        <w:t xml:space="preserve">4.2 Functional Classification: Purpose of Spending Functions describe the purpose or objective of an expenditure, such as public safety, public works, community development, or general government. Functional classification enables statewide comparisons of how resources are allocated among services. CACOA adopts a four-digit function structure modeled on widely recognized governmental reporting standards. Function 0000 is reserved as a silent or non-applicable value and should not be used for expenditure reporting in the FTR profile.</w:t>
      </w:r>
    </w:p>
    <w:p>
      <w:r>
        <w:t xml:space="preserve">4.3 Object Classification: Nature of Spending Object classification describes the nature of what was purchased or paid, such as salaries, benefits, supplies, services, or capital assets. Object codes provide insight into cost drivers and spending behavior. CACOA expenditure objects are organized within the 4000–4999 range and grouped into standardized object classes that roll up deterministically to FTR expenditure categories.</w:t>
      </w:r>
    </w:p>
    <w:p>
      <w:r>
        <w:t xml:space="preserve">4.4 Relationship Between Function and Object Function and object classifications are complementary, not interchangeable. Functions answer why money was spent; objects answer what the money was spent on. Both dimensions are required to fully describe an expenditure in statutory reporting. CACOA enforces this separation to prevent misuse of objects to simulate functional reporting or functions to simulate spending categories. 4.5 Departments and Cost Centers</w:t>
      </w:r>
    </w:p>
    <w:p>
      <w:r>
        <w:t xml:space="preserve">Departments represent organizational responsibility and are optional for FTR reporting. While not required by the FTR, departments are critical for internal management, budgeting, and cost control. CACOA supports department coding as a parallel analytical dimension that does not interfere with statutory classification. Department rollups enable dashboarding and performance analysis.</w:t>
      </w:r>
    </w:p>
    <w:p>
      <w:r>
        <w:t xml:space="preserve">4.6 Shared Costs and Cost Allocation Many municipal costs support multiple functions or programs. Shared costs may include information technology, fleet services, human resources, or administrative overhead. CACOA supports cost allocation methodologies while preserving FTR integrity. Allocations should be documented, applied consistently, and reviewed periodically. Allocated costs must retain appropriate functional and object classifications.</w:t>
      </w:r>
    </w:p>
    <w:p>
      <w:r>
        <w:t xml:space="preserve">4.7 Capital Outlay vs Operating Expenditures Capital outlay expenditures represent the acquisition or construction of capital assets and are distinct from operating expenditures. Proper classification is essential for meaningful financial analysis. CACOA distinguishes capital outlay objects from operating objects while recognizing that capital assets are later reported on the balance sheet in accordance with capitalization policies.</w:t>
      </w:r>
    </w:p>
    <w:p>
      <w:r>
        <w:t xml:space="preserve">4.8 Real-World Examples Example 1 – Police Department Salaries: Police salaries are recorded in the appropriate fund using a public safety function and salary-related expenditure objects. Department codes may be used for management analysis but do not affect FTR classification. Example 2 – Shared IT Services Allocation: Information technology costs incurred centrally may be allocated to multiple functions using a documented allocation methodology. Each allocated expenditure retains its functional and object classification for FTR reporting. Example 3 – Capital Project Expenditures: Expenditures for infrastructure construction are recorded using capital outlay objects and the appropriate function. The resulting asset is capitalized and reported separately on the balance sheet.</w:t>
      </w:r>
    </w:p>
    <w:p>
      <w:r>
        <w:t xml:space="preserve">4.9 Common Errors and CACOA Diagnostics Common errors include using departments in place of functions, misclassifying capital outlay as operating expense, and inconsistent allocation practices. CACOA diagnostics identify these issues prior to FTR submission.</w:t>
      </w:r>
    </w:p>
    <w:p>
      <w:r>
        <w:t xml:space="preserve">4.10 Audit and Reconciliation Considerations Auditors assess expenditure classification for consistency, appropriateness, and compliance with GASB and statutory requirements. CACOA preserves traceability from detailed postings to FTR rollups and audited financial statements.</w:t>
      </w:r>
    </w:p>
    <w:p>
      <w:r>
        <w:t xml:space="preserve">4.11 Citations and References • California State Controller’s Office – Financial Transactions Report Instructions • GASB Statement No. 34 – Basic Financial Statements • GASB Concepts Statement No. 1 – Objectives of Financial Reporting</w:t>
      </w:r>
    </w:p>
    <w:p>
      <w:pPr>
        <w:pStyle w:val="Heading3"/>
      </w:pPr>
      <w:r>
        <w:t xml:space="preserve">5 – Other Financing Sources and Uses (OFS/OFU) in the Financial Transactions Report (FTR)</w:t>
      </w:r>
    </w:p>
    <w:p>
      <w:r>
        <w:t xml:space="preserve">This chapter provides comprehensive, textbook-level guidance on Other Financing Sources and Uses (OFS/OFU) as reported in the California State Controller’s Office (SCO) Financial Transactions Report (FTR). It explains the conceptual distinction between operating activity and financing activity, the statutory treatment of transfers and debt proceeds, and how the California Agency Chart of Accounts (CACOA) supports accurate classification, diagnostics, and reconciliation.</w:t>
      </w:r>
    </w:p>
    <w:p>
      <w:r>
        <w:t xml:space="preserve">5.1 Purpose and Conceptual Framework of OFS/OFU Other Financing Sources and Uses represent inflows and outflows that are not revenues or expenditures. They reflect changes in financial resources arising from financing decisions rather than operations.</w:t>
      </w:r>
    </w:p>
    <w:p>
      <w:r>
        <w:t xml:space="preserve">5.2 Relationship to GASB Standards GASB standards distinguish operating activity from financing activity across governmental and proprietary fund reporting. GASB Statement No. 34 establishes the framework for reporting other financing sources and uses in governmental funds.</w:t>
      </w:r>
    </w:p>
    <w:p>
      <w:r>
        <w:t xml:space="preserve">5.3 CACOA Object Structure for OFS/OFU CACOA reserves dedicated object ranges for Other Financing Sources and Uses, distinct from revenue and expenditure object ranges.</w:t>
      </w:r>
    </w:p>
    <w:p>
      <w:r>
        <w:t xml:space="preserve">5.4 Interfund Transfers Interfund transfers represent flows of financial resources between funds without expectation of repayment.</w:t>
      </w:r>
    </w:p>
    <w:p>
      <w:r>
        <w:t xml:space="preserve">5.5 Debt Proceeds Proceeds from issuing bonds or notes are reported as Other Financing Sources in governmental funds.</w:t>
      </w:r>
    </w:p>
    <w:p>
      <w:r>
        <w:t xml:space="preserve">5.6 Capital Contributions Capital contributions may be reported as Other Financing Sources depending on legal structure.</w:t>
      </w:r>
    </w:p>
    <w:p>
      <w:r>
        <w:t xml:space="preserve">5.7 Real-World Examples Examples include General Fund transfers to Capital Projects Funds and bond issuance proceeds.</w:t>
      </w:r>
    </w:p>
    <w:p>
      <w:r>
        <w:t xml:space="preserve">5.8 Common Errors and Diagnostics Common errors include misclassifying transfers as revenues and failing to record symmetrical entries.</w:t>
      </w:r>
    </w:p>
    <w:p>
      <w:r>
        <w:t xml:space="preserve">5.9 Audit and Reconciliation Auditors closely review OFS/OFU because misclassification can materially affect reported results.</w:t>
      </w:r>
    </w:p>
    <w:p>
      <w:r>
        <w:t xml:space="preserve">5.10 Citations • SCO Financial Transactions Report Instructions • GASB Statement No. 34</w:t>
      </w:r>
    </w:p>
    <w:p>
      <w:pPr>
        <w:pStyle w:val="Heading3"/>
      </w:pPr>
      <w:r>
        <w:t xml:space="preserve">6 – Balance Sheet and Fund Balance Reporting in the FTR</w:t>
      </w:r>
    </w:p>
    <w:p>
      <w:r>
        <w:t xml:space="preserve">This chapter provides comprehensive, textbook-level guidance on balance sheet and fund balance reporting under the California State Controller’s Office (SCO) Financial Transactions Report (FTR). It explains how assets, liabilities, and equity/fund balance are reported at the fund level, how these concepts align with GASB requirements, and how CACOA supports compliant classification, rollups, and diagnostics without compromising local accounting needs.</w:t>
      </w:r>
    </w:p>
    <w:p>
      <w:r>
        <w:t xml:space="preserve">6.1 Purpose and Scope of Balance Sheet Reporting in the FTR Balance sheet reporting in the FTR is designed to provide statewide visibility into the financial position of municipalities. While the FTR is not a substitute for audited financial statements, its balance sheet categories allow comparability across agencies by applying standardized classification at the fund level. Unlike expenditure reporting, balance sheet reporting does not use functional classification. Assets and liabilities are reported solely by fund and object classification.</w:t>
      </w:r>
    </w:p>
    <w:p>
      <w:r>
        <w:t xml:space="preserve">6.2 Relationship to GASB: Governmental vs Proprietary Reporting GASB Statement No. 34 requires governments to present both governmental fund financial statements and government-wide statements. Governmental funds use the modified accrual basis and generally focus on short-term financial resources, while proprietary funds use full accrual and focus on economic resources. The FTR balance sheet consolidates key balance sheet categories by fund but does not replicate all GAAP presentation nuances. CACOA supports both bases by maintaining consistent object definitions while allowing reporting profiles to tailor presentation.</w:t>
      </w:r>
    </w:p>
    <w:p>
      <w:r>
        <w:t xml:space="preserve">6.3 CACOA Asset Classification and FTR Alignment CACOA asset objects are organized within the 1000–1999 range and mapped to FTR balance sheet lines. Asset classes are structured to distinguish current assets (cash, receivables, inventories, prepaid items) from noncurrent assets (capital assets, restricted assets, long-term receivables). CACOA supports additional detail beneath standardized asset categories, provided that rollups remain deterministic and traceable.</w:t>
      </w:r>
    </w:p>
    <w:p>
      <w:r>
        <w:t xml:space="preserve">6.4 CACOA Liability Classification and FTR Alignment CACOA liability objects are organized within the 2000–2899 range and mapped to FTR balance sheet lines. Liabilities are structured to distinguish current liabilities (accounts payable, accrued liabilities, current portions of long-term debt) from long-term liabilities (bonds, leases, pensions, OPEB). Proper liability classification is critical for comparability and audit review, particularly for pension and OPEB obligations, lease liabilities, and debt-related balances.</w:t>
      </w:r>
    </w:p>
    <w:p>
      <w:r>
        <w:t xml:space="preserve">6.5 Equity and Fund Balance: Governmental and Proprietary Concepts In governmental funds, equity is typically reported as fund balance, which GASB Statement No. 54 requires to be classified into nonspendable, restricted, committed, assigned, and unassigned categories. In proprietary funds, equity is reported as net position, classified into net investment in capital assets, restricted, and unrestricted categories. The FTR reports equity/fund balance at the fund level, focusing on standardized categories that support statewide analysis. CACOA provides equity objects within the 2900–2999 range and supports GASB-aligned subclassification through reference tables and rollups.</w:t>
      </w:r>
    </w:p>
    <w:p>
      <w:r>
        <w:t xml:space="preserve">6.6 Prohibition on Functional Balances and Improper Segmentation A common structural error is attempting to track fund balance by function or department. Fund balance represents the residual of assets and liabilities within a fund and must be maintained at the fund level. Functions describe the purpose of expenditures and do not apply to balance sheet accounts. CACOA explicitly prohibits functional classification of balance sheet accounts in the FTR profile and provides diagnostics to identify improper postings.</w:t>
      </w:r>
    </w:p>
    <w:p>
      <w:r>
        <w:t xml:space="preserve">6.7 Special Situations and Real-World Examples Example 1 – Developer Deposits and Drawdowns: A city may receive deposits from developers for plan review or inspection services. These deposits are not revenue at receipt; they represent a liability (deposit payable). As services are provided, the city recognizes revenue or reduces the liability depending on the policy and legal structure. CACOA supports this by providing distinct liability objects for deposits and appropriate revenue objects for earned amounts. Example 2 – Advances Between Funds: Interfund advances differ from transfers. Advances are balance sheet receivables/payables expected to be repaid. Transfers are other financing sources/uses and do not create receivables. CACOA distinguishes advances using asset and liability objects, while transfers are recorded in OFS/OFU ranges. Example 3 – Restricted Cash in Enterprise Funds: Enterprise funds may hold restricted cash for bond covenants or capital reserves. CACOA supports restricted asset objects that roll up to FTR categories while preserving detail for covenant compliance.</w:t>
      </w:r>
    </w:p>
    <w:p>
      <w:r>
        <w:t xml:space="preserve">6.8 Common Errors and CACOA Diagnostics Common balance sheet reporting errors include treating deposits as revenue, misclassifying advances as transfers, failing to separate current and long-term portions of liabilities, and mixing restricted and unrestricted assets without adequate detail. CACOA diagnostics identify these issues through mapping completeness checks and classification validation rules.</w:t>
      </w:r>
    </w:p>
    <w:p>
      <w:r>
        <w:t xml:space="preserve">6.9 Audit and Reconciliation Considerations Balance sheet accounts are frequently subject to audit emphasis because they affect financial position and long-term obligations. CACOA supports audit review by providing consistent definitions, GASB-aligned descriptions, and traceable rollups from detailed objects to FTR categories. Reconciliation between local ledgers, audited statements, and FTR reporting should be performed at the fund level. CACOA’s reporting views are designed to facilitate this reconciliation by preserving fund integrity and deterministic rollups.</w:t>
      </w:r>
    </w:p>
    <w:p>
      <w:r>
        <w:t xml:space="preserve">6.10 Citations and References • California State Controller’s Office – Financial Transactions Report Instructions • GASB Statement No. 34 – Basic Financial Statements and Management’s Discussion and Analysis • GASB Statement No. 54 – Fund Balance Reporting and Governmental Fund Type Definitions • GASB Statement No. 68 – Accounting and Financial Reporting for Pensions • GASB Statement No. 75 – Accounting and Financial Reporting for Postemployment Benefits Other Than Pensions • GASB Statement No. 87 – Leases</w:t>
      </w:r>
    </w:p>
    <w:p>
      <w:pPr>
        <w:pStyle w:val="Heading3"/>
      </w:pPr>
      <w:r>
        <w:t xml:space="preserve">7 – Functional Rules, Exceptions, and Special Cases in FTR Reporting</w:t>
      </w:r>
    </w:p>
    <w:p>
      <w:r>
        <w:t xml:space="preserve">This chapter provides authoritative guidance on the application of functional classification in the California State Controller’s Office (SCO) Financial Transactions Report (FTR). It addresses when functional classification is required, when it is prohibited, common exceptions encountered in municipal accounting, and how the California Agency Chart of Accounts (CACOA) enforces consistent, auditable treatment while allowing operational flexibility.</w:t>
      </w:r>
    </w:p>
    <w:p>
      <w:r>
        <w:t xml:space="preserve">7.1 Purpose of Functional Classification Functional classification exists to describe the purpose of expenditures. It allows statewide comparison of how resources are allocated among services such as public safety, public works, community development, and general government.</w:t>
      </w:r>
    </w:p>
    <w:p>
      <w:r>
        <w:t xml:space="preserve">7.2 When Functional Classification Is Required Functional classification is required for all operating and capital expenditures reported in the FTR.</w:t>
      </w:r>
    </w:p>
    <w:p>
      <w:r>
        <w:t xml:space="preserve">7.3 When Functional Classification Is Prohibited Functional classification must not be applied to revenues, balance sheet accounts, or other financing sources and uses.</w:t>
      </w:r>
    </w:p>
    <w:p>
      <w:r>
        <w:t xml:space="preserve">7.4 Primary Function Selection Agencies must assign a primary function or allocate costs across functions using documented methodologies.</w:t>
      </w:r>
    </w:p>
    <w:p>
      <w:r>
        <w:t xml:space="preserve">7.5 Cost Allocation and Shared Services Shared services may be allocated to benefiting functions using rational, consistent methodologies.</w:t>
      </w:r>
    </w:p>
    <w:p>
      <w:r>
        <w:t xml:space="preserve">7.6 Departments vs Functions Departments represent organizational responsibility and must not be used as substitutes for functions.</w:t>
      </w:r>
    </w:p>
    <w:p>
      <w:r>
        <w:t xml:space="preserve">7.7 Special Cases Certain expenditures may require documented exceptions while preserving standardized rollups.</w:t>
      </w:r>
    </w:p>
    <w:p>
      <w:r>
        <w:t xml:space="preserve">7.8 Real-World Examples Examples include election costs, emergency operations, and improper functional revenue use.</w:t>
      </w:r>
    </w:p>
    <w:p>
      <w:r>
        <w:t xml:space="preserve">7.9 Common Errors and Diagnostics CACOA diagnostics identify missing or improper functional classification.</w:t>
      </w:r>
    </w:p>
    <w:p>
      <w:r>
        <w:t xml:space="preserve">7.10 Audit Considerations Auditors evaluate functional classification for consistency and appropriateness.</w:t>
      </w:r>
    </w:p>
    <w:p>
      <w:r>
        <w:t xml:space="preserve">7.11 Citations • SCO Financial Transactions Report Instructions • GASB Statement No. 34</w:t>
      </w:r>
    </w:p>
    <w:p>
      <w:pPr>
        <w:pStyle w:val="Heading3"/>
      </w:pPr>
      <w:r>
        <w:t xml:space="preserve">8 – Diagnostics, Validation, and Error Resolution in CACOA and FTR Reporting</w:t>
      </w:r>
    </w:p>
    <w:p>
      <w:r>
        <w:t xml:space="preserve">This chapter provides comprehensive, textbook-level guidance on diagnostics, validation, and error resolution within the California Agency Chart of Accounts (CACOA) framework as it relates to Financial Transactions Report (FTR) reporting. It explains how structured validation rules, diagnostic reporting, and controlled exception handling improve data quality, audit readiness, and statewide comparability without preventing agencies from previewing results or submitting draft reports.</w:t>
      </w:r>
    </w:p>
    <w:p>
      <w:r>
        <w:t xml:space="preserve">8.1 Purpose of Diagnostics and Validation Diagnostics and validation exist to ensure that financial data is structurally sound, internally consistent, and compliant with statutory reporting requirements. Unlike transactional controls that prevent posting, CACOA diagnostics are designed to identify issues early while preserving the ability to analyze and review data. This approach supports iterative improvement, transparency, and informed decision-making prior to final FTR submission.</w:t>
      </w:r>
    </w:p>
    <w:p>
      <w:r>
        <w:t xml:space="preserve">8.2 Validation Philosophy: Prevent vs Detect CACOA distinguishes between preventative controls and detective controls. Preventative controls block structurally invalid combinations, such as applying functional codes to balance sheet accounts. Detective controls identify issues that require judgment or correction. This distinction allows agencies to preview results, understand unmapped items, and address exceptions without suppressing meaningful information.</w:t>
      </w:r>
    </w:p>
    <w:p>
      <w:r>
        <w:t xml:space="preserve">8.3 Core Validation Rules Core validation rules enforce non-negotiable statutory requirements. Examples include requiring function codes on expenditures, prohibiting function codes on revenues and balance sheet objects, and enforcing fund-level integrity for equity balances.</w:t>
      </w:r>
    </w:p>
    <w:p>
      <w:r>
        <w:t xml:space="preserve">8.4 Mapping Completeness and Draft States CACOA supports explicit mapping states that indicate whether a chart element is fully mapped, partially mapped, or unmapped for FTR reporting. Draft states allow agencies to review preliminary rollups while clearly identifying gaps. This design avoids the false choice between blocking reports and submitting incomplete data.</w:t>
      </w:r>
    </w:p>
    <w:p>
      <w:r>
        <w:t xml:space="preserve">8.5 Unmapped and Exception Handling Unmapped items may arise from locally defined codes, newly introduced activity, or unusual transactions. CACOA provides exception tables and diagnostic views to capture these items without forcing premature classification.</w:t>
      </w:r>
    </w:p>
    <w:p>
      <w:r>
        <w:t xml:space="preserve">8.6 Symmetry and Cross-Fund Validation Certain transactions require symmetrical treatment across funds, such as interfund transfers and advances. CACOA diagnostics identify unmatched pairs and imbalances prior to FTR submission.</w:t>
      </w:r>
    </w:p>
    <w:p>
      <w:r>
        <w:t xml:space="preserve">8.7 Rollup Integrity and Range Validation CACOA relies on deterministic rollups based on code ranges and class definitions. Validation rules ensure that all detail codes fall within defined ranges and that rollups do not overlap in ways that compromise comparability.</w:t>
      </w:r>
    </w:p>
    <w:p>
      <w:r>
        <w:t xml:space="preserve">8.8 Diagnostic Reporting and Review Workflow Diagnostic reports present validation results in a structured, review-friendly format. Agencies should review diagnostics iteratively, resolve high-risk issues, and document exceptions prior to finalizing FTR submissions.</w:t>
      </w:r>
    </w:p>
    <w:p>
      <w:r>
        <w:t xml:space="preserve">8.9 Audit Readiness and Documentation Well-documented diagnostics and exception handling support audit review by demonstrating intentional classification decisions, consistent application of rules, and continuous improvement.</w:t>
      </w:r>
    </w:p>
    <w:p>
      <w:r>
        <w:t xml:space="preserve">8.10 Citations and References • California State Controller’s Office – Financial Transactions Report Instructions • GASB Concepts Statement No. 1 – Objectives of Financial Reporting • GASB Statement No. 34 – Basic Financial Statements</w:t>
      </w:r>
    </w:p>
    <w:p>
      <w:pPr>
        <w:pStyle w:val="Heading3"/>
      </w:pPr>
      <w:r>
        <w:t xml:space="preserve">9 – Reconciliation, Submission, and Review Process for CACOA and FTR Reporting</w:t>
      </w:r>
    </w:p>
    <w:p>
      <w:r>
        <w:t xml:space="preserve">This chapter provides comprehensive, textbook-level guidance on the final stages of Financial Transactions Report (FTR) preparation: reconciliation, submission, and review. It explains how the California Agency Chart of Accounts (CACOA) supports reconciliation to audited financial statements, structured internal review, and compliant submission to the California State Controller’s Office (SCO).</w:t>
      </w:r>
    </w:p>
    <w:p>
      <w:r>
        <w:t xml:space="preserve">9.1 Purpose of Reconciliation and Review Reconciliation ensures that data reported in the FTR is complete, accurate, and consistent with the agency’s accounting records and audited financial statements. Review processes provide assurance that classification decisions are intentional, documented, and compliant.</w:t>
      </w:r>
    </w:p>
    <w:p>
      <w:r>
        <w:t xml:space="preserve">9.2 Relationship Between FTR and Audited Financial Statements The FTR is not a replacement for audited financial statements. Rather, it is a standardized statutory report derived from those statements and the underlying accounting records. CACOA facilitates reconciliation by maintaining deterministic rollups from detailed chart elements to FTR categories, allowing agencies to trace reported amounts back to source data.</w:t>
      </w:r>
    </w:p>
    <w:p>
      <w:r>
        <w:t xml:space="preserve">9.3 Reconciliation at the Fund Level Reconciliation should be performed at the fund level, consistent with the unit of accountability used in the FTR. Agencies should reconcile fund revenues, expenditures, other financing sources and uses, and ending fund balances to audited figures.</w:t>
      </w:r>
    </w:p>
    <w:p>
      <w:r>
        <w:t xml:space="preserve">9.4 Timing and Sequencing of Reconciliation Activities Reconciliation is an iterative process. Preliminary reconciliation may occur prior to audit completion, with final reconciliation performed after audited balances are available.</w:t>
      </w:r>
    </w:p>
    <w:p>
      <w:r>
        <w:t xml:space="preserve">9.5 Use of Diagnostics in Final Review Diagnostics developed under CACOA play a critical role in final review. Agencies should resolve high-severity issues, review remaining exceptions, and document rationale for any unresolved items prior to submission.</w:t>
      </w:r>
    </w:p>
    <w:p>
      <w:r>
        <w:t xml:space="preserve">9.6 Internal Review and Approval Workflow Agencies should establish a formal internal review process that includes accounting staff, finance leadership, and, where appropriate, external advisors. Documentation of review and approval supports accountability and audit readiness.</w:t>
      </w:r>
    </w:p>
    <w:p>
      <w:r>
        <w:t xml:space="preserve">9.7 Submission to the State Controller’s Office The SCO establishes deadlines and submission formats for the FTR. Agencies are responsible for ensuring timely submission and responding to follow-up inquiries or correction requests.</w:t>
      </w:r>
    </w:p>
    <w:p>
      <w:r>
        <w:t xml:space="preserve">9.8 Responding to SCO Review and Inquiries SCO staff may request clarification or correction of reported data. CACOA supports efficient response by preserving traceability and providing documentation of classification and mapping decisions.</w:t>
      </w:r>
    </w:p>
    <w:p>
      <w:r>
        <w:t xml:space="preserve">9.9 Post-Submission Review and Continuous Improvement Following submission, agencies should review diagnostic results, SCO feedback, and audit findings to identify opportunities for improvement. CACOA supports continuous refinement of mappings and validation rules without disrupting historical comparability.</w:t>
      </w:r>
    </w:p>
    <w:p>
      <w:r>
        <w:t xml:space="preserve">9.10 Citations and References • California State Controller’s Office – Financial Transactions Report Instructions • GASB Concepts Statement No. 1 – Objectives of Financial Reporting • GASB Statement No. 34 – Basic Financial Statements and Management’s Discussion and Analysis</w:t>
      </w:r>
    </w:p>
    <w:p>
      <w:pPr>
        <w:pStyle w:val="Heading1"/>
      </w:pPr>
      <w:r>
        <w:t xml:space="preserve">Reporting Profiles</w:t>
      </w:r>
    </w:p>
    <w:p>
      <w:pPr>
        <w:pStyle w:val="Heading2"/>
      </w:pPr>
      <w:r>
        <w:t xml:space="preserve">FTR_MUNI - Municipal FTR / SCO Reporting</w:t>
      </w:r>
    </w:p>
    <w:p>
      <w:r>
        <w:t xml:space="preserve">Rollups and diagnostics designed to align CACOA to SCO FTR reporting structure for municipalities.</w:t>
      </w:r>
    </w:p>
    <w:p>
      <w:pPr>
        <w:pStyle w:val="Heading2"/>
      </w:pPr>
      <w:r>
        <w:t xml:space="preserve">BUDGET - Budget Presentation</w:t>
      </w:r>
    </w:p>
    <w:p>
      <w:r>
        <w:t xml:space="preserve">Rollups commonly used for budget development, appropriation monitoring, and management reporting.</w:t>
      </w:r>
    </w:p>
    <w:p>
      <w:pPr>
        <w:pStyle w:val="Heading2"/>
      </w:pPr>
      <w:r>
        <w:t xml:space="preserve">ACFR - ACFR / GAAP Financial Reporting</w:t>
      </w:r>
    </w:p>
    <w:p>
      <w:r>
        <w:t xml:space="preserve">Rollups commonly used for ACFR/CAFR financial statement presentation (government-wide and fund statements).</w:t>
      </w:r>
    </w:p>
    <w:p>
      <w:pPr>
        <w:pStyle w:val="Heading2"/>
      </w:pPr>
      <w:r>
        <w:t xml:space="preserve">MGMT - Management / Operational</w:t>
      </w:r>
    </w:p>
    <w:p>
      <w:r>
        <w:t xml:space="preserve">Agency-defined management rollups (program, initiative, event, internal tracking).</w:t>
      </w:r>
    </w:p>
    <w:p>
      <w:r>
        <w:t xml:space="preserve">Department dashboarding snippet: Highlight top spending departments by program, track monthly variance to budget, and surface operational KPIs alongside financial results.</w:t>
      </w:r>
    </w:p>
    <w:p>
      <w:pPr>
        <w:pStyle w:val="Heading1"/>
      </w:pPr>
      <w:r>
        <w:t xml:space="preserve">Guidance Chapters</w:t>
      </w:r>
    </w:p>
    <w:p>
      <w:r>
        <w:t xml:space="preserve">Getting Started with CACOA — http://localhost:3000/guidance/getting-started</w:t>
      </w:r>
    </w:p>
    <w:p>
      <w:r>
        <w:t xml:space="preserve">Mapping Objects to ROC Buckets — http://localhost:3000/guidance/mapping-roc</w:t>
      </w:r>
    </w:p>
    <w:p>
      <w:r>
        <w:t xml:space="preserve">Release Quality States — http://localhost:3000/guidance/release-quality</w:t>
      </w:r>
    </w:p>
    <w:p>
      <w:pPr>
        <w:pStyle w:val="Heading1"/>
      </w:pPr>
      <w:r>
        <w:t xml:space="preserve">Funds</w:t>
      </w:r>
    </w:p>
    <w:p>
      <w:pPr>
        <w:pStyle w:val="Heading2"/>
      </w:pPr>
      <w:r>
        <w:t xml:space="preserve">TOTAL - Total Funds (All Types)</w:t>
      </w:r>
    </w:p>
    <w:p>
      <w:pPr>
        <w:pStyle w:val="Heading2"/>
      </w:pPr>
      <w:r>
        <w:t xml:space="preserve">GOV - Governmental Funds (Total)</w:t>
      </w:r>
    </w:p>
    <w:p>
      <w:pPr>
        <w:pStyle w:val="Heading2"/>
      </w:pPr>
      <w:r>
        <w:t xml:space="preserve">PRO - Proprietary Funds (Total)</w:t>
      </w:r>
    </w:p>
    <w:p>
      <w:pPr>
        <w:pStyle w:val="Heading2"/>
      </w:pPr>
      <w:r>
        <w:t xml:space="preserve">FID - Fiduciary Funds (Total)</w:t>
      </w:r>
    </w:p>
    <w:p>
      <w:r>
        <w:t xml:space="preserve">800 Fiduciary/Agency/Trust — General (Combined Block) Fiduciary/Agency/Trust — General (Combined Block).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810 Agency/Custodial — General Agency/Custodial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820 Pass-through / Clearing — General Pass-through / Clearing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849 Agency/Custodial — Reserved/Overflow Agency/Custodial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850 Trust — General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860 Pension/OPEB Trust — General Pension/OPEB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870 Private-purpose Trust — General Private-purpose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899 Trust — Reserved/Overflow Trust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pPr>
        <w:pStyle w:val="Heading2"/>
      </w:pPr>
      <w:r>
        <w:t xml:space="preserve">GOV_OP - Governmental Operating / Special Revenue</w:t>
      </w:r>
    </w:p>
    <w:p>
      <w:r>
        <w:t xml:space="preserve">100 General Fund — Operating General Fund — Operating.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110 Impact Fees / Development Fees — Governmental Impact Fees / Development Fees — Governmental.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130 Grants — Governmental (general) Grants — Governmental (general).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190 Other Governmental — Reserved Other Governmental — Reserved.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200 Special Revenue — General (restricted programs) Special Revenue — General (restricted programs).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250 Special Revenue — Public Safety Programs (template) Special Revenue — Public Safety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260 Special Revenue — Transportation Programs (template) Special Revenue — Transportation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270 Special Revenue — Community Services Programs (template) Special Revenue — Community Services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280 Special Revenue — Community Development Programs (template) Special Revenue — Community Development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290 General Governmental — Reserved/Overflow General Governmental — Reserved/Overflow.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pPr>
        <w:pStyle w:val="Heading2"/>
      </w:pPr>
      <w:r>
        <w:t xml:space="preserve">GOV_CAP - Governmental Capital Projects</w:t>
      </w:r>
    </w:p>
    <w:p>
      <w:r>
        <w:t xml:space="preserve">300 Capital Projects — General CIP Capital Projects — General CIP.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330 Capital Projects — Streets/Transportation Capital Projects — Streets/Transportation.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360 Capital Projects — Parks/Facilities Capital Projects — Parks/Facilities.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380 Capital Projects — Public Safety Facilities Capital Projects — Public Safety Facilities.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390 Capital Projects — Utility-Related Governmental CIP Capital Projects — Utility-Related Governmental CIP.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399 Capital Projects — Reserved/Overflow Capital Projects — Reserved/Overflow. Governmental debt service / financing structure used for principal/interest and debt-related activity. GASB: Debt service funds account for resources restricted, committed, or assigned for the payment of principal and interest on long-term debt. Accounting: Maintain debt schedules, trustee statements, and reconciliation to long-term liabilities in accrual statements. Local subfund expansion is permitted (recommended as a 4th digit) to create program/project detail while maintaining the 3-digit base fund rollup. Reporting: Supports FTR debt service lines and consistent separation from operating funds. Local expansion rule: Optional local expansion: append 4th digit (###D). Universal parent is first 3 digits. Examples: GO bond debt service; lease revenue debt service; special assessment debt service. Exclusions: Debt proceeds (other financing) should be recorded in the receiving fund with object 8020, not as revenue.</w:t>
      </w:r>
    </w:p>
    <w:p>
      <w:pPr>
        <w:pStyle w:val="Heading2"/>
      </w:pPr>
      <w:r>
        <w:t xml:space="preserve">GOV_DEBT - Governmental Debt Service / Financing</w:t>
      </w:r>
    </w:p>
    <w:p>
      <w:r>
        <w:t xml:space="preserve">400 Debt Service — General Debt Service — General.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410 Debt Service — GO Bonds (template) Debt Service — GO Bonds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420 Debt Service — Lease/Subscrip. (GASB 87/96) (template) Debt Service — Lease/Subscrip. (GASB 87/96)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430 Debt Service — Assessment/Other (template) Debt Service — Assessment/Other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499 Debt Service — Reserved/Overflow Debt Service — Reserved/Overflow.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pPr>
        <w:pStyle w:val="Heading2"/>
      </w:pPr>
      <w:r>
        <w:t xml:space="preserve">ENT - Enterprise / Business-Type Activities</w:t>
      </w:r>
    </w:p>
    <w:p>
      <w:r>
        <w:t xml:space="preserve">510 Water Enterprise — Operating Water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511 Water Enterprise — Impact Fees Water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512 Water Enterprise — Grants Water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513 Water Enterprise — Capital Projects Water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514 Water Enterprise — Debt / Financing Water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515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516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517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518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519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520 Sewer Enterprise — Operating Sewer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521 Sewer Enterprise — Impact Fees Sewer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522 Sewer Enterprise — Grants Sewer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523 Sewer Enterprise — Capital Projects Sewer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524 Sewer Enterprise — Debt / Financing Sewer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525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526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527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528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529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530 Solid Waste Enterprise — Operating Solid Waste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531 Solid Waste Enterprise — Impact Fees Solid Waste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532 Solid Waste Enterprise — Grants Solid Waste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533 Solid Waste Enterprise — Capital Projects Solid Waste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534 Solid Waste Enterprise — Debt / Financing Solid Waste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535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536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537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538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539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540 Electric Enterprise — Operating Electric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541 Electric Enterprise — Impact Fees Electric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542 Electric Enterprise — Grants Electric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543 Electric Enterprise — Capital Projects Electric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544 Electric Enterprise — Debt / Financing Electric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545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546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547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548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549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550 Gas Enterprise — Operating Gas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551 Gas Enterprise — Impact Fees Gas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552 Gas Enterprise — Grants Gas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553 Gas Enterprise — Capital Projects Gas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554 Gas Enterprise — Debt / Financing Gas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555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556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557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558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559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560 Airport Enterprise — Operating Airport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561 Airport Enterprise — Impact Fees Airport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562 Airport Enterprise — Grants Airport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563 Airport Enterprise — Capital Projects Airport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564 Airport Enterprise — Debt / Financing Airport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565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566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567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568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569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570 Transit Enterprise — Operating Transit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571 Transit Enterprise — Impact Fees Transit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572 Transit Enterprise — Grants Transit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573 Transit Enterprise — Capital Projects Transit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574 Transit Enterprise — Debt / Financing Transit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575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576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577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578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579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580 Parking Enterprise — Operating Parking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581 Parking Enterprise — Impact Fees Parking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582 Parking Enterprise — Grants Parking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583 Parking Enterprise — Capital Projects Parking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584 Parking Enterprise — Debt / Financing Parking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585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586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587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588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589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590 Other Enterprise System Enterprise — Operating Other Enterprise System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591 Other Enterprise System Enterprise — Impact Fees Other Enterprise System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592 Other Enterprise System Enterprise — Grants Other Enterprise System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593 Other Enterprise System Enterprise — Capital Projects Other Enterprise System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594 Other Enterprise System Enterprise — Debt / Financing Other Enterprise System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595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596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597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598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599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600 Enterprise System 60 — Operating (Local) Enterprise System 60 — Operating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601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602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603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604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605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606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607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608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609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pPr>
        <w:pStyle w:val="Heading2"/>
      </w:pPr>
      <w:r>
        <w:t xml:space="preserve">ISF - Internal Service Funds</w:t>
      </w:r>
    </w:p>
    <w:p>
      <w:r>
        <w:t xml:space="preserve">700 Internal Service — General Internal Service — General.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710 Internal Service — Fleet Internal Service — Fleet.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720 Internal Service — IT Internal Service — IT.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730 Internal Service — Risk / Insurance Internal Service — Risk / Insurance.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799 Internal Service — Reserved/Overflow Internal Service — Reserved/Overflow.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pPr>
        <w:pStyle w:val="Heading2"/>
      </w:pPr>
      <w:r>
        <w:t xml:space="preserve">FID - Fiduciary / Trust / Custodial</w:t>
      </w:r>
    </w:p>
    <w:p>
      <w:r>
        <w:t xml:space="preserve">800 Fiduciary/Agency/Trust — General (Combined Block) Fiduciary/Agency/Trust — General (Combined Block).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810 Agency/Custodial — General Agency/Custodial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820 Pass-through / Clearing — General Pass-through / Clearing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849 Agency/Custodial — Reserved/Overflow Agency/Custodial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850 Trust — General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860 Pension/OPEB Trust — General Pension/OPEB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870 Private-purpose Trust — General Private-purpose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899 Trust — Reserved/Overflow Trust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pPr>
        <w:pStyle w:val="Heading2"/>
      </w:pPr>
      <w:r>
        <w:t xml:space="preserve">IMPACT - Impact Fee Funds (Suggested)</w:t>
      </w:r>
    </w:p>
    <w:p>
      <w:pPr>
        <w:pStyle w:val="Heading2"/>
      </w:pPr>
      <w:r>
        <w:t xml:space="preserve">GRANT - Grant &amp; Program Funds (Suggested)</w:t>
      </w:r>
    </w:p>
    <w:p>
      <w:pPr>
        <w:pStyle w:val="Heading2"/>
      </w:pPr>
      <w:r>
        <w:t xml:space="preserve">MGMT_TOP - Management Rollups (Top)</w:t>
      </w:r>
    </w:p>
    <w:p>
      <w:pPr>
        <w:pStyle w:val="Heading1"/>
      </w:pPr>
      <w:r>
        <w:t xml:space="preserve">Objects</w:t>
      </w:r>
    </w:p>
    <w:p>
      <w:pPr>
        <w:pStyle w:val="Heading2"/>
      </w:pPr>
      <w:r>
        <w:t xml:space="preserve">10 - Assets</w:t>
      </w:r>
    </w:p>
    <w:p>
      <w:pPr>
        <w:pStyle w:val="Heading3"/>
      </w:pPr>
      <w:r>
        <w:t xml:space="preserve">01 - Transfers</w:t>
      </w:r>
    </w:p>
    <w:p>
      <w:r>
        <w:t xml:space="preserve">1000 Cash &amp; Cash Equivalents Cash and cash equivalents include currency on hand, demand deposits, and highly liquid short-term investments available for operations. GASB: Cash includes cash on hand and demand deposits; cash equivalents are short-term, highly liquid investments readily convertible to known amounts of cash. Accounting: Bank accounts should be reconciled monthly. Restricted cash should be identified via fund and/or additional tags. Examples: Operating bank accounts; petty cash; cash in treasury; money market sweep treated as cash equivalent. Exclusions: Longer-term investments that do not meet cash-equivalent criteria (use 1010).</w:t>
      </w:r>
    </w:p>
    <w:p>
      <w:r>
        <w:t xml:space="preserve">1001-1049 Cash &amp; Cash Equivalents – Local Detail Reserved local-detail block for Cash and cash equivalents include currency on hand, demand deposits, and highly liquid short-term investments available for operations. GASB: Use for additional Cash includes cash on hand and demand deposits; cash equivalents are short-term, highly liquid investments readily convertible to known amounts of cash. Accounting: Bank accounts should be reconciled monthly. Restricted cash should be identified via fund and/or additional tags. Examples: Operating bank accounts; petty cash; cash in treasury; money market sweep treated as cash equivalent. Exclusions: Longer-term investments that do not meet cash-equivalent criteria (use 1010).</w:t>
      </w:r>
    </w:p>
    <w:p>
      <w:r>
        <w:t xml:space="preserve">1050 Investments Investments include pooled and individual investments held under the city’s investment policy that are not classified as cash equivalents. GASB: Investments are generally reported at fair value in accordance with GASB investment measurement and disclosure requirements. Accounting: Maintain investment schedules by type, maturity, and custodian. Record interest and changes in fair value as appropriate. Examples: LAIF pool; U.S. Treasury notes; agency securities; certificates of deposit held as investments. Exclusions: Cash-equivalent instruments meeting the definition for 1000.</w:t>
      </w:r>
    </w:p>
    <w:p>
      <w:r>
        <w:t xml:space="preserve">1051-1079 Investments – Local Detail Reserved local-detail block for Investments include pooled and individual investments held under the city’s investment policy that are not classified as cash equivalents. GASB: Use for additional Investments are generally reported at fair value in accordance with GASB investment measurement and disclosure requirements. Accounting: Maintain investment schedules by type, maturity, and custodian. Record interest and changes in fair value as appropriate. Examples: LAIF pool; U.S. Treasury notes; agency securities; certificates of deposit held as investments. Exclusions: Cash-equivalent instruments meeting the definition for 1000.</w:t>
      </w:r>
    </w:p>
    <w:p>
      <w:r>
        <w:t xml:space="preserve">1080 Cash / Asset Suspense – Unidentified Receipts Temporary asset account for receipts or balances pending identification. GASB: Recognized as an asset only when control exists but classification is unresolved (GASB Concept Statement 4). Accounting: Must be cleared promptly to correct cash, receivable, or liability account. Reporting: Should normally net to zero; balances reviewed monthly. Examples: Unidentified ACH deposits; lockbox receipts pending research. Exclusions: Not for revenue recognition; not for interfund balancing.</w:t>
      </w:r>
    </w:p>
    <w:p>
      <w:r>
        <w:t xml:space="preserve">1081-1089 Asset Suspense – Local Detail Temporary asset account for receipts or balances pending identification. GASB: Recognized as an asset only when control exists but classification is unresolved (GASB Concept Statement 4). Accounting: Must be cleared promptly to correct cash, receivable, or liability account. Reporting: Should normally net to zero; balances reviewed monthly. Examples: Unidentified ACH deposits; lockbox receipts pending research. Exclusions: Not for revenue recognition; not for interfund balancing.</w:t>
      </w:r>
    </w:p>
    <w:p>
      <w:r>
        <w:t xml:space="preserve">1090 Cash Allocated to Funds This object is used in centralized cash management to allocate pooled cash and investment balances from a central cash holding fund (commonly a designated clearing fund such as Fund 999) to the individual operating funds that legally own the cash. It represents fund attribution, not a separate bank account. GASB: This object is intended to support proper fund reporting without requiring each fund to directly post activity to physical bank account objects (e.g., 1000–1009), while maintaining a clear audit trail showing how pooled cash is distributed among funds. Accounting: Use this object only for allocation entries that distribute pooled cash to funds. It should be posted in tandem between the central pooled cash fund and each receiving fund. Examples: Physical investment accounts remain in Fund 999 (e.g., LAIF object 1003). Allocation remains via 1090 so each fund still reflects its ownership interest. Exclusions: Do not use as a physical bank account or A/P, A/R, or due to/from operating activity.</w:t>
      </w:r>
    </w:p>
    <w:p>
      <w:r>
        <w:t xml:space="preserve">1091-1099 Cash Allocated to Funds - Local Detail This reserved block provides optional local detail sub-objects beneath the “Cash Allocated to Funds” concept. It is intended for agencies that need to separately track cash attribution by allocation method, pool, custody arrangement, or other locally defined treasury structures while still rolling up cleanly into the CACOA standard allocation object structure. GASB: Use for additional objects intended to support proper fund reporting without requiring each fund to directly post activity to physical bank account objects (e.g., 1000–1009), while maintaining a clear audit trail showing how pooled cash is distributed among funds. Accounting: Use this object only for multiple pooled cash groups, special custody allocations, or grant cash attribution tracked separately for internal compliance dashboards. If you don’t need this detail, use only 1090. It should be posted in tandem between the central pooled cash fund and each receiving fund. Examples: Physical investment accounts remain in Fund 999 (e.g.,General Treasury Pool, Bond Trustee Pool, Grant Custody Pool or Fiscal Agent/Pass-Through Pool). Allocation remains via 1091-1099 so each fund still reflects its ownership interest. Exclusions: Do not create local detail codes that duplicate physical bank account tracking. Do not create local detail codes that duplicate physical bank account tracking.</w:t>
      </w:r>
    </w:p>
    <w:p>
      <w:r>
        <w:t xml:space="preserve">1100 Taxes Receivable Taxes receivable represents legally imposed tax amounts owed to the city, net of estimated uncollectibles. GASB: Receivables should be recognized when measurable and available in governmental funds, and when earned in proprietary/government-wide statements, consistent with GASB recognition principles. Accounting: Track by tax type and period; record allowances; coordinate with county/third-party remitters for settlement schedules. Examples: Property tax receivable; sales tax receivable from CDTFA/allocator; TOT receivable. Exclusions: User charges and billings (use 1030).</w:t>
      </w:r>
    </w:p>
    <w:p>
      <w:r>
        <w:t xml:space="preserve">1101-1119 Taxes Receivable – Local Detail Reserved local-detail block for Taxes receivable represents legally imposed tax amounts owed to the city, net of estimated uncollectibles. GASB: Use for additional Receivables should be recognized when measurable and available in governmental funds, and when earned in proprietary/government-wide statements, consistent with GASB recognition principles. Accounting: Track by tax type and period; record allowances; coordinate with county/third-party remitters for settlement schedules. Examples: Property tax receivable; sales tax receivable from CDTFA/allocator; TOT receivable. Exclusions: User charges and billings (use 1030).</w:t>
      </w:r>
    </w:p>
    <w:p>
      <w:r>
        <w:t xml:space="preserve">1120 Accounts Receivable Accounts receivable includes amounts due from customers or other parties for services rendered or billings that are not tax-based. GASB: Receivables are recognized for earned amounts; allowances should be recorded for estimated uncollectible amounts. Accounting: Use subsidiary ledgers (utility billing, business license, permits). Consider aging and collections policies. Examples: Utility customer receivable; business license receivable; inspection billing receivable. Exclusions: Taxes receivable (1020).</w:t>
      </w:r>
    </w:p>
    <w:p>
      <w:r>
        <w:t xml:space="preserve">1121-1139 Accounts Receivable – Local Detail Reserved local-detail block for Accounts receivable includes amounts due from customers or other parties for services rendered or billings that are not tax-based. GASB: Use for additional Receivables are recognized for earned amounts; allowances should be recorded for estimated uncollectible amounts. Accounting: Use subsidiary ledgers (utility billing, business license, permits). Consider aging and collections policies. Examples: Utility customer receivable; business license receivable; inspection billing receivable. Exclusions: Taxes receivable (1020).</w:t>
      </w:r>
    </w:p>
    <w:p>
      <w:r>
        <w:t xml:space="preserve">1140 Intergovernmental Receivable Intergovernmental receivable reflects amounts due from federal, state, or other local governments, typically for grants or reimbursements. GASB: Recognize intergovernmental receivables when eligibility requirements are met and amounts are measurable; for reimbursement grants, recognize when allowable costs are incurred. Accounting: Tie to grant agreements and claims schedules. Maintain grant file documentation to support eligibility and timing. Examples: State gas tax reimbursement receivable; federal grant reimbursement receivable; county pass-through receivable. Exclusions: Internal amounts due from other funds (1050/2030).</w:t>
      </w:r>
    </w:p>
    <w:p>
      <w:r>
        <w:t xml:space="preserve">1141-1149 Intergovernmental Receivable – Local Detail Reserved local-detail block for Intergovernmental receivable reflects amounts due from federal, state, or other local governments, typically for grants or reimbursements. GASB: Use for additional Recognize intergovernmental receivables when eligibility requirements are met and amounts are measurable; for reimbursement grants, recognize when allowable costs are incurred. Accounting: Tie to grant agreements and claims schedules. Maintain grant file documentation to support eligibility and timing. Examples: State gas tax reimbursement receivable; federal grant reimbursement receivable; county pass-through receivable. Exclusions: Internal amounts due from other funds (1050/2030).</w:t>
      </w:r>
    </w:p>
    <w:p>
      <w:r>
        <w:t xml:space="preserve">1150 Due From Other Funds Due from other funds records short-term amounts owed to one fund by another fund within the same city reporting entity. GASB: Interfund receivables/payables are reported in fund statements and eliminated in government-wide statements except for certain residual balances. Accounting: Document the purpose and repayment plan; clear balances timely to avoid audit findings. Examples: General Fund due from Grants Fund; Internal Service due from Enterprise Fund. Exclusions: Amounts due from external governments (1040).</w:t>
      </w:r>
    </w:p>
    <w:p>
      <w:r>
        <w:t xml:space="preserve">1151-1159 Due From Other Funds – Local Detail Reserved local-detail block for Due from other funds records short-term amounts owed to one fund by another fund within the same city reporting entity. GASB: Use for additional Interfund receivables/payables are reported in fund statements and eliminated in government-wide statements except for certain residual balances. Accounting: Document the purpose and repayment plan; clear balances timely to avoid audit findings. Examples: General Fund due from Grants Fund; Internal Service due from Enterprise Fund. Exclusions: Amounts due from external governments (1040).</w:t>
      </w:r>
    </w:p>
    <w:p>
      <w:r>
        <w:t xml:space="preserve">1160 Inventory Inventory includes consumable supplies and materials held for use in operations. GASB: Inventory may be reported using consumption or purchases method as permitted; disclose accounting policy as needed. Accounting: Maintain inventory records for significant inventories (fuel, chemicals, parts). Examples: Water treatment chemicals; fleet parts; fuel inventory. Exclusions: Prepaid contracts (1070).</w:t>
      </w:r>
    </w:p>
    <w:p>
      <w:r>
        <w:t xml:space="preserve">1161-1169 Inventory – Local Detail Reserved local-detail block for Inventory includes consumable supplies and materials held for use in operations. GASB: Use for additional Inventory may be reported using consumption or purchases method as permitted; disclose accounting policy as needed. Accounting: Maintain inventory records for significant inventories (fuel, chemicals, parts). Examples: Water treatment chemicals; fleet parts; fuel inventory. Exclusions: Prepaid contracts (1070).</w:t>
      </w:r>
    </w:p>
    <w:p>
      <w:r>
        <w:t xml:space="preserve">1170 Prepaid Items Prepaid items represent payments made in advance of the period benefited, to be recognized as expense in future periods. GASB: Prepaid items are recognized as assets when they meet the definition of an asset and are expensed over the period of benefit. Accounting: Maintain schedule of prepaid items and amortization timing (insurance, service contracts). Examples: Prepaid insurance; prepaid software maintenance; prepaid rent. Exclusions: Inventory (1060).</w:t>
      </w:r>
    </w:p>
    <w:p>
      <w:r>
        <w:t xml:space="preserve">1171-1179 Prepaid Items – Local Detail Reserved local-detail block for Prepaid items represent payments made in advance of the period benefited, to be recognized as expense in future periods. GASB: Use for additional Prepaid items are recognized as assets when they meet the definition of an asset and are expensed over the period of benefit. Accounting: Maintain schedule of prepaid items and amortization timing (insurance, service contracts). Examples: Prepaid insurance; prepaid software maintenance; prepaid rent. Exclusions: Inventory (1060).</w:t>
      </w:r>
    </w:p>
    <w:p>
      <w:r>
        <w:t xml:space="preserve">1180-1199 Current Assets – Local Detail Reserved local-detail block for Current Assets. Use for city-specific current asset accounts requiring separate identification without breaking rollups. GASB: Use for additional current asset accounts consistent with the definition of an asset and the appropriate measurement focus for the fund type. Accounting: Document local account definitions and ensure balances are supported by subsidiary records and reconciliations. Examples: Restricted cash (if not segregated by fund); specialized receivable accounts; clearing accounts. Exclusions: Do not use for revenues or expenses.</w:t>
      </w:r>
    </w:p>
    <w:p>
      <w:pPr>
        <w:pStyle w:val="Heading3"/>
      </w:pPr>
      <w:r>
        <w:t xml:space="preserve">02 - Proceeds of Debt</w:t>
      </w:r>
    </w:p>
    <w:p>
      <w:r>
        <w:t xml:space="preserve">1200 Capital Assets – Land Capital assets – land represents land owned by the city used for operations or held for public purposes. GASB: Land is an inexhaustible capital asset and is not depreciated. Record at historical cost or acquisition value where applicable. Accounting: Track by parcel; include acquisition-related costs; segregate land held for resale if applicable. Examples: Park land; city hall site; right-of-way parcels. Exclusions: Land improvements (1120).</w:t>
      </w:r>
    </w:p>
    <w:p>
      <w:r>
        <w:t xml:space="preserve">1210 Capital Assets – Buildings Capital assets – buildings include structures owned and used by the city such as offices, stations, and community facilities. GASB: Buildings are capitalized and depreciated over estimated useful lives; componentization may be used where practical. Accounting: Maintain asset register; record major renovations as improvements if they extend life or increase capacity. Examples: City hall; library; fire station; corporation yard buildings. Exclusions: Infrastructure systems (1130).</w:t>
      </w:r>
    </w:p>
    <w:p>
      <w:r>
        <w:t xml:space="preserve">1220 Capital Assets – Improvements Capital assets – improvements include improvements other than buildings, such as park improvements and site enhancements. GASB: Land improvements are capitalized and depreciated over useful lives unless inexhaustible. Accounting: Separate from land for depreciation; track improvements by project. Examples: Parking lots; playground improvements; landscaping systems. Exclusions: Equipment (1140).</w:t>
      </w:r>
    </w:p>
    <w:p>
      <w:r>
        <w:t xml:space="preserve">1230 Capital Assets – Infrastructure Capital assets – infrastructure includes long-lived public systems such as streets, sidewalks, sewer and water systems, and storm drains. GASB: Infrastructure is capitalized and depreciated unless the modified approach is used and required condition/maintenance criteria are met. Accounting: Track by system; document depreciation or modified approach condition assessments and maintenance spending. Examples: Street pavement; water mains; sewer collection system; storm drains. Exclusions: Buildings (1110).</w:t>
      </w:r>
    </w:p>
    <w:p>
      <w:r>
        <w:t xml:space="preserve">1240 Capital Assets – Equipment/Vehicles Capital assets – equipment/vehicles includes movable equipment, machinery, technology, and vehicles used in operations. GASB: Equipment and vehicles are capitalized and depreciated over estimated useful lives per capitalization policy thresholds. Accounting: Tag assets; track VIN/serial; document capitalization thresholds; record disposals and trade-ins. Examples: Fire apparatus; police vehicles; servers; heavy equipment; radios. Exclusions: Supplies below capitalization threshold (expense objects 5000–5999).</w:t>
      </w:r>
    </w:p>
    <w:p>
      <w:r>
        <w:t xml:space="preserve">1250 Accumulated Depreciation (Contra) Accumulated depreciation (contra) records cumulative depreciation taken on depreciable capital assets. GASB: Accumulated depreciation is a contra-asset reducing the carrying amount of depreciable capital assets. Accounting: Maintain depreciation schedules by asset class; reconcile to the asset register. Examples: Accumulated depreciation on buildings, infrastructure, and equipment. Exclusions: Land (not depreciated).</w:t>
      </w:r>
    </w:p>
    <w:p>
      <w:r>
        <w:t xml:space="preserve">1260-1299 Capital Assets – Local Detail Reserved local-detail block for Capital/Other Assets. Use for city-specific asset categories or components. GASB: Use for additional asset accounts consistent with capitalization, valuation, and depreciation guidance where applicable. Accounting: Maintain alignment to the asset register and depreciation/valuation method. Examples: Specialized infrastructure subcategories; leased asset classes; CIP capitalization buckets. Exclusions: Do not use for capital outlay spending (use 6000–6999).</w:t>
      </w:r>
    </w:p>
    <w:p>
      <w:pPr>
        <w:pStyle w:val="Heading3"/>
      </w:pPr>
      <w:r>
        <w:t xml:space="preserve">90 - Other Financing — Other/Detail</w:t>
      </w:r>
    </w:p>
    <w:p>
      <w:r>
        <w:t xml:space="preserve">1900-1999 Other Assets – Local Detail Reserved local-detail block for Capital/Other Assets. Use for city-specific asset categories or components. GASB: Use for additional asset accounts consistent with capitalization, valuation, and depreciation guidance where applicable. Accounting: Maintain alignment to the asset register and depreciation/valuation method. Examples: Specialized infrastructure subcategories; leased asset classes; CIP capitalization buckets. Exclusions: Do not use for capital outlay spending (use 6000–6999).</w:t>
      </w:r>
    </w:p>
    <w:p>
      <w:pPr>
        <w:pStyle w:val="Heading2"/>
      </w:pPr>
      <w:r>
        <w:t xml:space="preserve">20 - Liabilities</w:t>
      </w:r>
    </w:p>
    <w:p>
      <w:pPr>
        <w:pStyle w:val="Heading3"/>
      </w:pPr>
      <w:r>
        <w:t xml:space="preserve">01 - Transfers</w:t>
      </w:r>
    </w:p>
    <w:p>
      <w:r>
        <w:t xml:space="preserve">2000 Accounts Payable Accounts payable represents amounts owed to vendors for goods and services received but not yet paid, typically supported by an accounts payable subledger. GASB: Accounts payable is a liability for unpaid obligations to vendors arising from purchases and contracts. Recognition and timing follow the applicable measurement focus and accrual basis for the fund type. Accounting: Tie to AP aging at period end. Ensure cut‑off: record liabilities when goods/services are received, not when invoices are paid. Clear stale items and investigate credit balances. Reporting: Posting here should correspond to expense objects 4000–7999. Do not net payables against expenses unless explicitly allowed by policy. Examples: Vendor invoices approved but unpaid; utility power bill received but unpaid; contractor progress payment payable. Exclusions: Accrued payroll and benefits (use 2010); interfund payables (use 2030).</w:t>
      </w:r>
    </w:p>
    <w:p>
      <w:r>
        <w:t xml:space="preserve">2001-2009 Accounts Payable – Local Detail Reserved local-detail block for Accounts payable represents amounts owed to vendors for goods and services received but not yet paid, typically supported by an accounts payable subledger. GASB: Use for additional Accounts payable is a liability for unpaid obligations to vendors arising from purchases and contracts. Recognition and timing follow the applicable measurement focus and accrual basis for the fund type. Accounting: Tie to AP aging at period end. Ensure cut‑off: record liabilities when goods/services are received, not when invoices are paid. Clear stale items and investigate credit balances. Reporting: Posting here should correspond to expense objects 4000–7999. Do not net payables against expenses unless explicitly allowed by policy. Examples: Vendor invoices approved but unpaid; utility power bill received but unpaid; contractor progress payment payable. Exclusions: Accrued payroll and benefits (use 2010); interfund payables (use 2030).</w:t>
      </w:r>
    </w:p>
    <w:p>
      <w:r>
        <w:t xml:space="preserve">2010 Accrued Payroll &amp; Benefits Accrued payroll and benefits represent wages and related employer obligations earned by employees but not yet paid, including employer payroll taxes and benefit accruals tied to the payroll cycle. GASB: Accrued payroll liabilities arise from services already rendered by employees. Benefit-related accruals should follow applicable recognition guidance (e.g., compensated absences may be long‑term depending on expected payout timing). Accounting: Maintain a payroll accrual worksheet (days worked but unpaid, benefits, payroll taxes). Reconcile to payroll registers and subsequent disbursements. Reporting: Use for routine payroll cycle accruals. For long‑term compensated absences or actuarial liabilities, use the long‑term liability objects (2200–2230) and/or reserved block as defined. Examples: End-of-period payroll accrual; employer retirement contributions payable; payroll tax payable tied to accrued wages. Exclusions: Vendor invoices (2000); long‑term compensated absences and actuarial obligations (long‑term liability objects).</w:t>
      </w:r>
    </w:p>
    <w:p>
      <w:r>
        <w:t xml:space="preserve">2011-2019 Accrued Payroll &amp; Benefits – Local Detail Reserved local-detail block for Accrued payroll and benefits represent wages and related employer obligations earned by employees but not yet paid, including employer payroll taxes and benefit accruals tied to the payroll cycle. GASB: Use for additional Accrued payroll liabilities arise from services already rendered by employees. Benefit-related accruals should follow applicable recognition guidance (e.g., compensated absences may be long‑term depending on expected payout timing). Accounting: Maintain a payroll accrual worksheet (days worked but unpaid, benefits, payroll taxes). Reconcile to payroll registers and subsequent disbursements. Reporting: Use for routine payroll cycle accruals. For long‑term compensated absences or actuarial liabilities, use the long‑term liability objects (2200–2230) and/or reserved block as defined. Examples: End-of-period payroll accrual; employer retirement contributions payable; payroll tax payable tied to accrued wages. Exclusions: Vendor invoices (2000); long‑term compensated absences and actuarial obligations (long‑term liability objects).</w:t>
      </w:r>
    </w:p>
    <w:p>
      <w:r>
        <w:t xml:space="preserve">2020 Unearned / Deferred Revenue Unearned/deferred revenue represents amounts received before the related eligibility requirements are met or before the revenue is earned (for proprietary/government‑wide reporting). GASB: Amounts received in advance are reported as a liability until the underlying earning process or eligibility requirements are satisfied. In governmental reporting, certain items may be reported as deferred inflows rather than liabilities depending on the specific guidance and timing of recognition. Accounting: Track by revenue source and period. Ensure correct classification between ‘received in advance’ vs ‘measurable but not available’ (which may be deferred inflow in governmental funds). Document policy. Reporting: This code supports balance‑sheet presentation. Related revenue recognition is recorded in 3000–3999 when earned/available. For governmental statements, evaluate whether the item is a deferred inflow rather than a liability. Examples: Permit or rental payments received for future period; prepaid service contracts billed in advance; advance grant payments before eligibility met. Exclusions: Accounts payable (2000); deposits that are refundable (often use local-detail liability within 2040–2099).</w:t>
      </w:r>
    </w:p>
    <w:p>
      <w:r>
        <w:t xml:space="preserve">2021-2029 Unearned / Deferred Revenue – Local Detail Reserved local-detail block for Unearned/deferred revenue represents amounts received before the related eligibility requirements are met or before the revenue is earned (for proprietary/government‑wide reporting). GASB: Use for additional Amounts received in advance are reported as a liability until the underlying earning process or eligibility requirements are satisfied. In governmental reporting, certain items may be reported as deferred inflows rather than liabilities depending on the specific guidance and timing of recognition. Accounting: Track by revenue source and period. Ensure correct classification between ‘received in advance’ vs ‘measurable but not available’ (which may be deferred inflow in governmental funds). Document policy. Reporting: This code supports balance‑sheet presentation. Related revenue recognition is recorded in 3000–3999 when earned/available. For governmental statements, evaluate whether the item is a deferred inflow rather than a liability. Examples: Permit or rental payments received for future period; prepaid service contracts billed in advance; advance grant payments before eligibility met. Exclusions: Accounts payable (2000); deposits that are refundable (often use local-detail liability within 2040–2099).</w:t>
      </w:r>
    </w:p>
    <w:p>
      <w:r>
        <w:t xml:space="preserve">2030 Due To Other Funds Due to other funds records short‑term amounts owed by one fund to another within the same city reporting entity. GASB: Interfund payables are reported in fund statements and eliminated in government‑wide statements except for certain residual balances. Long‑term interfund loans may require separate classification and disclosure. Accounting: Maintain interfund schedules by fund pair, purpose, and expected settlement timing. Resolve balances promptly; document any long‑term arrangements. Reporting: Interfund balances are common audit focus areas. Avoid using interfund payables to ‘park’ deficits; ensure proper authorization and repayment plan. Examples: General Fund due to Grants Fund for shared costs; Enterprise fund due to Internal Service fund for fleet charges. Exclusions: Amounts owed to external governments (use 2000/2020/other liability accounts as appropriate).</w:t>
      </w:r>
    </w:p>
    <w:p>
      <w:r>
        <w:t xml:space="preserve">2031-2039 Due To Other Funds – Local Detail Reserved local-detail block for Due to other funds records short‑term amounts owed by one fund to another within the same city reporting entity. GASB: Use for additional Interfund payables are reported in fund statements and eliminated in government‑wide statements except for certain residual balances. Long‑term interfund loans may require separate classification and disclosure. Accounting: Maintain interfund schedules by fund pair, purpose, and expected settlement timing. Resolve balances promptly; document any long‑term arrangements. Reporting: Interfund balances are common audit focus areas. Avoid using interfund payables to ‘park’ deficits; ensure proper authorization and repayment plan. Examples: General Fund due to Grants Fund for shared costs; Enterprise fund due to Internal Service fund for fleet charges. Exclusions: Amounts owed to external governments (use 2000/2020/other liability accounts as appropriate).</w:t>
      </w:r>
    </w:p>
    <w:p>
      <w:r>
        <w:t xml:space="preserve">2040-2099 Current Liabilities – Local Detail Reserved local-detail block for current liabilities. Use for city-specific current obligations that require separate identification without breaking rollups. GASB: Use for additional current liabilities consistent with the definition of a liability and the applicable measurement focus (governmental vs proprietary). Accounting: Define each local account (e.g., refundable deposits payable, claims payable, sales tax payable) and maintain supporting schedules/subledgers. Reporting: Maintain consistent use across funds and years to support comparability and auditability. Examples: Customer deposits payable; claims payable; sales tax payable to another agency; short-term notes payable (current portion). Exclusions: Do not use for operating revenues/expenses. Long‑term obligations should be in 2240–2899 unless clearly current.</w:t>
      </w:r>
    </w:p>
    <w:p>
      <w:r>
        <w:t xml:space="preserve">2180 Suspense / Clearing Liability suspense used when cash is received prior to revenue determination. GASB: Consistent with GASB guidance on deferred inflows and unearned revenues. Accounting: Cleared to revenue or refunded once source is identified. Reporting: Common in utilities, taxes, grants, and fines reporting. Examples: Unknown EFT deposits; advance payments pending billing. Exclusions: Not a substitute for deferred revenue classification.</w:t>
      </w:r>
    </w:p>
    <w:p>
      <w:r>
        <w:t xml:space="preserve">2181-2189 Suspense / Clearing - Local Detail Liability suspense used when cash is received prior to revenue determination. GASB: Consistent with GASB guidance on deferred inflows and unearned revenues. Accounting: Cleared to revenue or refunded once source is identified. Reporting: Common in utilities, taxes, grants, and fines reporting. Examples: Unknown EFT deposits; advance payments pending billing. Exclusions: Not a substitute for deferred revenue classification.</w:t>
      </w:r>
    </w:p>
    <w:p>
      <w:pPr>
        <w:pStyle w:val="Heading3"/>
      </w:pPr>
      <w:r>
        <w:t xml:space="preserve">02 - Proceeds of Debt</w:t>
      </w:r>
    </w:p>
    <w:p>
      <w:r>
        <w:t xml:space="preserve">2200 Long-Term Debt – Bonds/COPs Long-term debt payable represents bonds, loans, and other borrowings due beyond one year (exclusive of current maturities). GASB: Long-term debt is recognized in government‑wide and proprietary statements. Governmental funds typically recognize current maturities when due and payable with current resources. Accounting: Maintain debt schedules by issue; reconcile principal outstanding to trustee statements; separate current portion vs long-term portion at year-end. Reporting: Debt service payments are recorded in 7000–7999 expense objects. This object is for the balance‑sheet liability only. Examples: Revenue bonds payable; lease-revenue bonds payable; bank loans payable (long-term portion). Exclusions: Current portion of long-term debt (record in a current liability local-detail account or reserved block 2040–2099 if you choose to separate current portion).</w:t>
      </w:r>
    </w:p>
    <w:p>
      <w:r>
        <w:t xml:space="preserve">2201-2209 Long-Term Debt – Bonds/COPs – Local Detail Reserved local-detail block for Long-term debt payable represents bonds, loans, and other borrowings due beyond one year (exclusive of current maturities). GASB: Use for additional Long-term debt is recognized in government‑wide and proprietary statements. Governmental funds typically recognize current maturities when due and payable with current resources. Accounting: Maintain debt schedules by issue; reconcile principal outstanding to trustee statements; separate current portion vs long-term portion at year-end. Reporting: Debt service payments are recorded in 7000–7999 expense objects. This object is for the balance‑sheet liability only. Examples: Revenue bonds payable; lease-revenue bonds payable; bank loans payable (long-term portion). Exclusions: Current portion of long-term debt (record in a current liability local-detail account or reserved block 2040–2099 if you choose to separate current portion).</w:t>
      </w:r>
    </w:p>
    <w:p>
      <w:r>
        <w:t xml:space="preserve">2210 Lease / SBITA Liability (GASB 87/96) Leases and similar obligations represent long-term commitments arising from lease arrangements or other right-to-use arrangements recognized as liabilities in applicable reporting statements. GASB: Lease liabilities and similar obligations are recognized based on applicable standards for leases/subscriptions and measured as the present value of future payments where required. Accounting: Maintain lease schedules (payments, discount rates, terms). Reconcile to note disclosures and amortization schedules. Reporting: Lease-related expense is captured in operating expense objects (typically 5200–5299). This object is for the balance‑sheet liability and related amortization/interest components as applicable. Examples: Office space lease liability; equipment lease liability; right‑to‑use arrangements requiring liability recognition. Exclusions: Short-term rentals paid as incurred (expense objects).</w:t>
      </w:r>
    </w:p>
    <w:p>
      <w:r>
        <w:t xml:space="preserve">2211-2219 Lease / SBITA Liability (GASB 87/96) – Local Detail Reserved local-detail block for Leases and similar obligations represent long-term commitments arising from lease arrangements or other right-to-use arrangements recognized as liabilities in applicable reporting statements. GASB: Use for additional Lease liabilities and similar obligations are recognized based on applicable standards for leases/subscriptions and measured as the present value of future payments where required. Accounting: Maintain lease schedules (payments, discount rates, terms). Reconcile to note disclosures and amortization schedules. Reporting: Lease-related expense is captured in operating expense objects (typically 5200–5299). This object is for the balance‑sheet liability and related amortization/interest components as applicable. Examples: Office space lease liability; equipment lease liability; right‑to‑use arrangements requiring liability recognition. Exclusions: Short-term rentals paid as incurred (expense objects).</w:t>
      </w:r>
    </w:p>
    <w:p>
      <w:r>
        <w:t xml:space="preserve">2220 Compensated Absences Compensated absences payable represents long-term accrued leave obligations (vacation/comp time) expected to be paid in future periods. GASB: Compensated absences are recognized when earned and when they meet the criteria for accrual; amounts expected to be liquidated with current resources may be reported as current, with the remainder as long‑term. Accounting: Use HR/payroll system reports to estimate accrued leave balances; apply payout rules and rates. Separate current portion vs long-term portion where applicable. Reporting: For governmental funds, only the portion due and payable may appear; government‑wide/proprietary statements report the full liability. Ensure consistent methodology year to year. Examples: Accrued vacation payable; accrued comp time payable; leave payout liability. Exclusions: Routine payroll cycle accruals (2010).</w:t>
      </w:r>
    </w:p>
    <w:p>
      <w:r>
        <w:t xml:space="preserve">2230 Net Pension/OPEB Liability Other long-term obligations include actuarial and other long-term liabilities not captured elsewhere, including certain benefit-related obligations depending on accounting treatment and scope. GASB: Certain long-term obligations may be recognized based on actuarial valuations or other measurement methods in accordance with applicable guidance. Presentation and note disclosures depend on the specific obligation. Accounting: Maintain supporting actuarial reports/schedules. Coordinate with auditors on classification for complex liabilities. Reporting: Use this object for long-term liabilities that are not debt, leases, or compensated absences, but should be recognized as obligations in the relevant statements. Examples: OPEB-related long-term obligations (where recorded here); self-insurance claims liabilities (long-term portion); other contractual long-term obligations. Exclusions: Debt payable (2200); leases (2210); compensated absences (2220).</w:t>
      </w:r>
    </w:p>
    <w:p>
      <w:r>
        <w:t xml:space="preserve">2240-2899 Long-Term Liabilities – Local Detail Reserved local-detail block for long-term liabilities. Use for city-specific long-term obligations and components requiring separate identification without breaking rollups. GASB: Use for additional long-term liabilities consistent with recognition and measurement requirements for the reporting model and fund type. Accounting: Define each local account and maintain supporting schedules (debt/lease/claims/actuarial). Ensure separation of current vs long-term where needed. Reporting: This block supports expansion for detailed debt issues, lease types, benefit obligations, and other long-term liabilities while preserving rollups to Long‑Term Liabilities. Examples: Specific bond issue payable; specific lease liability series; long-term claims payable; other actuarial liabilities. Exclusions: Do not use for operating expenses or revenues.</w:t>
      </w:r>
    </w:p>
    <w:p>
      <w:pPr>
        <w:pStyle w:val="Heading2"/>
      </w:pPr>
      <w:r>
        <w:t xml:space="preserve">29 - Equity</w:t>
      </w:r>
    </w:p>
    <w:p>
      <w:pPr>
        <w:pStyle w:val="Heading3"/>
      </w:pPr>
      <w:r>
        <w:t xml:space="preserve">00 - 00</w:t>
      </w:r>
    </w:p>
    <w:p>
      <w:r>
        <w:t xml:space="preserve">2900 Fund Balance / Net Position – Unassigned Unassigned fund balance / unrestricted net position represents the portion of equity available for general use, not otherwise restricted, committed, or assigned. GASB: Unassigned fund balance is the residual classification for the General Fund and includes all amounts not contained in other classifications. Unrestricted net position is the residual in proprietary/government‑wide reporting after net investment in capital assets and restricted components. Accounting: Use for General Fund residual fund balance or enterprise unrestricted residual. Ensure restrictions and designations are recorded separately. Reporting: This is often the key indicator used for fiscal health and policy compliance (reserves). Examples: General Fund unassigned reserves; enterprise unrestricted net position. Exclusions: Restricted resources (2910); committed/assigned designations (2920).</w:t>
      </w:r>
    </w:p>
    <w:p>
      <w:r>
        <w:t xml:space="preserve">2910 Fund Balance – Restricted Restricted fund balance / restricted net position represents resources constrained to specific purposes by external parties, law, or enabling legislation. GASB: Restricted amounts are constrained by external parties (creditors, grantors, contributors), by laws/regulations, or by enabling legislation. Classification depends on the nature of the restriction. Accounting: Maintain restriction schedules by source and purpose. Ensure restricted cash/investments and related liabilities are appropriately tracked by fund and/or tags. Reporting: Commonly used for grants, impact fees, special taxes, and enterprise restricted accounts. Examples: Impact fee restricted balance; gas tax restricted balance; restricted enterprise revenue bond covenants. Exclusions: Internal designations without external constraint (use 2920).</w:t>
      </w:r>
    </w:p>
    <w:p>
      <w:r>
        <w:t xml:space="preserve">2920 Fund Balance – Assigned/Committed Committed/assigned fund balance represents resources set aside for specific purposes by the governing body (committed) or management intent (assigned). GASB: Committed fund balance requires formal action of the governing body; assigned represents intent to use resources for a specific purpose. These are distinct from external restrictions. Accounting: Document commitments via council action and assignments via policy/administrative authority. Review annually for relevance and reclassification. Reporting: Use to reflect internal designations and policy-based reserves (e.g., equipment replacement, economic uncertainty). Examples: Committed capital replacement reserve; assigned carryover projects; stabilization reserve (if committed). Exclusions: Externally restricted amounts (2910); unassigned residual (2900).</w:t>
      </w:r>
    </w:p>
    <w:p>
      <w:r>
        <w:t xml:space="preserve">2930-2999 Equity – Local Detail Reserved local-detail equity block. Use for additional fund balance or net position classifications required by a city’s internal reporting model or auditor preference. GASB: Local equity classifications may be used to support net investment in capital assets, restricted components by purpose, or other required presentations, provided rollups reconcile to the fund’s total equity. Accounting: Define local equity codes consistently and document reconciliation to published financial statements. Consider separate tracking for ‘net investment in capital assets’ for proprietary/government-wide reporting. Reporting: This range enables expanded equity presentation without changing the universal rollup approach. Examples: Net investment in capital assets; restricted by covenant; restricted by enabling legislation; nonspendable fund balance (inventories/prepaids). Exclusions: Do not use for revenues/expenses or balance‑sheet assets/liabilities.</w:t>
      </w:r>
    </w:p>
    <w:p>
      <w:pPr>
        <w:pStyle w:val="Heading2"/>
      </w:pPr>
      <w:r>
        <w:t xml:space="preserve">30 - Revenues</w:t>
      </w:r>
    </w:p>
    <w:p>
      <w:pPr>
        <w:pStyle w:val="Heading3"/>
      </w:pPr>
      <w:r>
        <w:t xml:space="preserve">01 - Transfers</w:t>
      </w:r>
    </w:p>
    <w:p>
      <w:r>
        <w:t xml:space="preserve">3000 Property Taxes Property taxes include secured and unsecured property tax revenues allocated to the city, including supplemental and prior-year adjustments. GASB: Tax revenues are imposed nonexchange transactions; recognize when measurable and available in governmental funds and when the underlying exchange/eligibility is satisfied under accrual. Accounting: Reconcile to county allocation reports and tax roll. Accrue receivable for amounts earned but not received; document availability window policy. Examples: Secured property tax; unsecured property tax; supplemental property tax; delinquent collections. Exclusions: Special assessments (3130) and fees (3100/3110).</w:t>
      </w:r>
    </w:p>
    <w:p>
      <w:r>
        <w:t xml:space="preserve">3010 Sales &amp; Use Taxes Sales and use taxes include sales tax allocations and related adjustments remitted to the city by the state/allocator. Accounting: Reconcile allocator reports; separate Bradley-Burns vs district taxes if needed via local detail. Examples: Bradley-Burns 1% sales tax; local district transactions and use tax allocations. Exclusions: Business license taxes (3040) and franchise taxes (3050).</w:t>
      </w:r>
    </w:p>
    <w:p>
      <w:r>
        <w:t xml:space="preserve">3020 Utility User Taxes Utility user taxes (UUT) include taxes imposed on utility services (electric, gas, telecom, etc.) and remitted by providers. Accounting: Reconcile to provider remittances; maintain rate ordinances; track audit settlement revenues separately if material. Examples: Electric UUT; gas UUT; telecom UUT. Exclusions: Utility service charges (charges for services, typically enterprise revenues).</w:t>
      </w:r>
    </w:p>
    <w:p>
      <w:r>
        <w:t xml:space="preserve">3030 Transient Occupancy Taxes Transient occupancy taxes (TOT) include hotel/short-term lodging taxes remitted by operators or platforms. Accounting: Maintain TOT returns and compliance audits; consider receivable accruals for earned but unremitted periods. Examples: Hotel TOT; short-term rental TOT. Exclusions: Business license fees (3100) and fines (3120).</w:t>
      </w:r>
    </w:p>
    <w:p>
      <w:r>
        <w:t xml:space="preserve">3040 Business License Taxes Business license taxes include taxes imposed based on business activity where the levy is primarily tax-like rather than regulatory fee-based. Accounting: Maintain business license schedules; if city treats as a fee, classify under 3100 per policy. Examples: Gross-receipts-based business tax; flat-rate business tax. Exclusions: Regulatory permits and licenses that are cost-based (3100).</w:t>
      </w:r>
    </w:p>
    <w:p>
      <w:r>
        <w:t xml:space="preserve">3050 Franchise Taxes Franchise taxes include taxes or franchise fees imposed for the right to operate utilities or other businesses in the public right-of-way. Accounting: Maintain franchise agreements and remittance schedules; separate franchise taxes vs rent/lease income if needed. Examples: Cable franchise revenue; utility franchise revenue. Exclusions: Right-of-way rents (use 3400) if structured as rent rather than tax/franchise.</w:t>
      </w:r>
    </w:p>
    <w:p>
      <w:r>
        <w:t xml:space="preserve">3060 Property Transfer Taxes Property transfer taxes include documentary transfer tax and similar taxes related to property transactions. Accounting: Reconcile to county recorder remittances and transaction volumes. Examples: Doc transfer tax receipts. Exclusions: Property taxes (3000).</w:t>
      </w:r>
    </w:p>
    <w:p>
      <w:r>
        <w:t xml:space="preserve">3070 Parcel Taxes / Special Taxes Parcel and special taxes include voter-approved special taxes and parcel taxes dedicated to specific purposes. Accounting: Maintain special tax roll and compliance with voter-approved use restrictions; track restricted fund balance (2910). Examples: Public safety parcel tax; library special tax. Exclusions: Special benefit assessments (3130).</w:t>
      </w:r>
    </w:p>
    <w:p>
      <w:r>
        <w:t xml:space="preserve">3080 Other Taxes Other taxes include tax revenues not elsewhere classified, such as cannabis taxes or other locally adopted taxes. Accounting: Define locally; use local-detail block 3090–3099 for separate recurring taxes. Examples: Cannabis tax; admissions tax (if applicable). Exclusions: Fees and charges (3100–3399).</w:t>
      </w:r>
    </w:p>
    <w:p>
      <w:r>
        <w:t xml:space="preserve">3090-3099 Taxes – Local Detail Reserved local-detail block for additional city-specific taxes (separate recurring taxes, audit settlements, or dedicated taxes) while preserving rollups to Taxes. Accounting: Define each local tax clearly (tax base, rate/ordinance, remitter). Avoid using local detail for non-tax sources. Examples: Cannabis excise tax; platform TOT settlements; special district pass-through taxes. Exclusions: Fees (3100+) and intergovernmental (3200+).</w:t>
      </w:r>
    </w:p>
    <w:p>
      <w:pPr>
        <w:pStyle w:val="Heading3"/>
      </w:pPr>
      <w:r>
        <w:t xml:space="preserve">02 - Proceeds of Debt</w:t>
      </w:r>
    </w:p>
    <w:p>
      <w:r>
        <w:t xml:space="preserve">3100 Licenses &amp; Permits Licenses and permits include regulatory fees charged for licenses, permits, and similar authorizations, excluding impact fees. Accounting: Maintain permit logs and fee schedules; ensure revenue is recognized when the license/permit period is earned or as issued per policy. Examples: Building permits; business license fee (if treated as fee); encroachment permits. Exclusions: Impact fees (3110).</w:t>
      </w:r>
    </w:p>
    <w:p>
      <w:r>
        <w:t xml:space="preserve">3101-3109 Licenses &amp; Permits – Local Detail Reserved local-detail block for Licenses and permits include regulatory fees charged for licenses, permits, and similar authorizations, excluding impact fees. GASB: Use for additional Accounting: Maintain permit logs and fee schedules; ensure revenue is recognized when the license/permit period is earned or as issued per policy. Examples: Building permits; business license fee (if treated as fee); encroachment permits. Exclusions: Impact fees (3110).</w:t>
      </w:r>
    </w:p>
    <w:p>
      <w:r>
        <w:t xml:space="preserve">3110 Development &amp; Impact Fees Development and impact fees include fees imposed on development to mitigate impacts or fund infrastructure, often subject to legal restrictions and reporting. GASB: Impact fees are typically nonexchange or exchange-like depending on structure; recognize when the underlying event occurs and eligibility requirements are met. Restrictions should be reflected in equity (2910) where applicable. Accounting: Track by fee program (FEE_TYPE). Maintain nexus documentation, fee program schedules, and restricted balances. Examples: Traffic impact fees; parks impact fees; sewer connection fees (impact component). Exclusions: Charges for services for utilities (3300–3399) unless specifically impact-based.</w:t>
      </w:r>
    </w:p>
    <w:p>
      <w:r>
        <w:t xml:space="preserve">3111-3119 Development &amp; Impact Fees – Local Detail Reserved local-detail block for Development and impact fees include fees imposed on development to mitigate impacts or fund infrastructure, often subject to legal restrictions and reporting. GASB: Use for additional Impact fees are typically nonexchange or exchange-like depending on structure; recognize when the underlying event occurs and eligibility requirements are met. Restrictions should be reflected in equity (2910) where applicable. Accounting: Track by fee program (FEE_TYPE). Maintain nexus documentation, fee program schedules, and restricted balances. Examples: Traffic impact fees; parks impact fees; sewer connection fees (impact component). Exclusions: Charges for services for utilities (3300–3399) unless specifically impact-based.</w:t>
      </w:r>
    </w:p>
    <w:p>
      <w:r>
        <w:t xml:space="preserve">3120 Fines &amp; Forfeitures Fines and forfeitures include penalties and fines imposed by the city, including administrative citations and court-related revenues where applicable. Accounting: Tie to citation systems and remittance reports. Separate pass-through portions via local detail if needed. Examples: Parking fines; administrative citations; code enforcement penalties. Exclusions: Service charges and fees (3100/3300).</w:t>
      </w:r>
    </w:p>
    <w:p>
      <w:r>
        <w:t xml:space="preserve">3121-3129 Fines &amp; Forfeitures – Local Detail Reserved local-detail block for Fines and forfeitures include penalties and fines imposed by the city, including administrative citations and court-related revenues where applicable. GASB: Use for additional Accounting: Tie to citation systems and remittance reports. Separate pass-through portions via local detail if needed. Examples: Parking fines; administrative citations; code enforcement penalties. Exclusions: Service charges and fees (3100/3300).</w:t>
      </w:r>
    </w:p>
    <w:p>
      <w:r>
        <w:t xml:space="preserve">3130 Special Benefit Assessments Special benefit assessments include assessments levied for specific benefits to properties or districts, including maintenance assessment districts. Accounting: Maintain assessment engineer reports and levy schedules; track restricted use where applicable. Examples: Landscape maintenance assessment district; lighting district assessments. Exclusions: General taxes (3000–3080).</w:t>
      </w:r>
    </w:p>
    <w:p>
      <w:r>
        <w:t xml:space="preserve">3131-3139 Special Benefit Assessments – Local Detail Reserved local-detail block for Special benefit assessments include assessments levied for specific benefits to properties or districts, including maintenance assessment districts. GASB: Use for additional Accounting: Maintain assessment engineer reports and levy schedules; track restricted use where applicable. Examples: Landscape maintenance assessment district; lighting district assessments. Exclusions: General taxes (3000–3080).</w:t>
      </w:r>
    </w:p>
    <w:p>
      <w:r>
        <w:t xml:space="preserve">3140-3199 Other Fees – Local Detail Reserved local-detail block for additional licenses, permits, fees, fines, and related revenues while preserving rollups to the FTR fee categories. Accounting: Define each fee type and maintain fee schedules. Use FEE_TYPE dimension for program-level comparability (especially impact/development fees). Examples: Plan check fees; inspection fees; zoning fees; specialized permit categories. Exclusions: Taxes (3000–3099) and intergovernmental (3200–3299).</w:t>
      </w:r>
    </w:p>
    <w:p>
      <w:pPr>
        <w:pStyle w:val="Heading3"/>
      </w:pPr>
      <w:r>
        <w:t xml:space="preserve">03 - Sale of Capital Assets</w:t>
      </w:r>
    </w:p>
    <w:p>
      <w:r>
        <w:t xml:space="preserve">3200 Intergovernmental — Federal Federal intergovernmental revenue includes grants, shared revenues, and reimbursements from federal agencies (direct or pass-through). Accounting: Capture GRANT_ID for program-level tracking; maintain award documents and reimbursement schedules. Examples: FEMA reimbursements; CDBG federal portion; federal pass-through via state/county. Exclusions: State-only programs (3210) and local reimbursements (3220–3299).</w:t>
      </w:r>
    </w:p>
    <w:p>
      <w:pPr>
        <w:pStyle w:val="Heading3"/>
      </w:pPr>
      <w:r>
        <w:t xml:space="preserve">04 - Equipment/Vehicles</w:t>
      </w:r>
    </w:p>
    <w:p>
      <w:r>
        <w:t xml:space="preserve">3210 Intergovernmental — State State intergovernmental revenue includes grants, subventions, and shared revenues from the State of California and state-administered programs. Accounting: Capture GRANT_ID or program code where needed; reconcile to state remittances and schedules. Examples: Gas tax allocations; SB1; state mandates reimbursements; state pass-through grants. Exclusions: Federal programs (3200).</w:t>
      </w:r>
    </w:p>
    <w:p>
      <w:pPr>
        <w:pStyle w:val="Heading3"/>
      </w:pPr>
      <w:r>
        <w:t xml:space="preserve">05 - Intergovernmental — Local/Other</w:t>
      </w:r>
    </w:p>
    <w:p>
      <w:r>
        <w:t xml:space="preserve">3220 Intergovernmental — Local/County/Other Local/other intergovernmental revenue includes county, special district, and other governmental reimbursements and shared revenues. Accounting: Use local detail and GRANT_ID where multiple programs exist; maintain MOUs and billing backup. Examples: County reimbursements; joint powers authority distributions; other agency cost-sharing. Exclusions: Charges for services to non-government customers (3300–3399).</w:t>
      </w:r>
    </w:p>
    <w:p>
      <w:r>
        <w:t xml:space="preserve">3230-3299 Intergovernmental – Local Detail Reserved local-detail block for multiple local/other intergovernmental programs while preserving rollups to the appropriate intergovernmental category. Accounting: Define each program; capture GRANT_ID for compliance and 1:1 FTR mapping when required. Examples: Measure allocations; regional grants; pass-through reimbursements. Exclusions: Fees and service charges (3100/3300).</w:t>
      </w:r>
    </w:p>
    <w:p>
      <w:pPr>
        <w:pStyle w:val="Heading3"/>
      </w:pPr>
      <w:r>
        <w:t xml:space="preserve">06 - Charges for Services</w:t>
      </w:r>
    </w:p>
    <w:p>
      <w:r>
        <w:t xml:space="preserve">3300 Charges for Services Charges for services include exchange-based revenues for providing services, permits, and goods where the city is compensated for the service provided. Accounting: Tie to billing system and rate schedules. Ensure correct fund classification (enterprise vs governmental). Examples: Utility service charges; recreation program fees; ambulance fees. Exclusions: Regulatory licenses/permits (3100) and taxes (3000–3099).</w:t>
      </w:r>
    </w:p>
    <w:p>
      <w:r>
        <w:t xml:space="preserve">3301-3309 Charges for Services – Local Detail Reserved local-detail block for Charges for services include exchange-based revenues for providing services, permits, and goods where the city is compensated for the service provided. GASB: Use for additional Accounting: Tie to billing system and rate schedules. Ensure correct fund classification (enterprise vs governmental). Examples: Utility service charges; recreation program fees; ambulance fees. Exclusions: Regulatory licenses/permits (3100) and taxes (3000–3099).</w:t>
      </w:r>
    </w:p>
    <w:p>
      <w:r>
        <w:t xml:space="preserve">3310 Utility Service Charges Utility service charges include billed charges for water, sewer, solid waste, and other utility services. Accounting: Tie to utility billing system; consider unbilled revenue accruals for enterprise funds. Examples: Water sales; sewer service charges; refuse service charges. Exclusions: Utility user tax (3020) and impact fees (3110).</w:t>
      </w:r>
    </w:p>
    <w:p>
      <w:r>
        <w:t xml:space="preserve">3311-3319 Utility Service Charges – Local Detail Reserved local-detail block for Utility service charges include billed charges for water, sewer, solid waste, and other utility services. GASB: Use for additional Accounting: Tie to utility billing system; consider unbilled revenue accruals for enterprise funds. Examples: Water sales; sewer service charges; refuse service charges. Exclusions: Utility user tax (3020) and impact fees (3110).</w:t>
      </w:r>
    </w:p>
    <w:p>
      <w:r>
        <w:t xml:space="preserve">3320-3399 Charges for Services – Local Detail Reserved local-detail block for breaking out major service charges by program while preserving rollups to Charges for Services. Accounting: Define service categories consistently (recreation, ambulance, rentals). Use local detail instead of miscellaneous for recurring revenue. Examples: Ambulance transport fees; park rentals; plan check charges if treated as service charge. Exclusions: Taxes and intergovernmental revenues.</w:t>
      </w:r>
    </w:p>
    <w:p>
      <w:pPr>
        <w:pStyle w:val="Heading3"/>
      </w:pPr>
      <w:r>
        <w:t xml:space="preserve">07 - Use of Money &amp; Property</w:t>
      </w:r>
    </w:p>
    <w:p>
      <w:r>
        <w:t xml:space="preserve">3400 Use of Money &amp; Property Use of money and property includes investment earnings, interest, rents, and royalties derived from city resources. Accounting: Allocate investment earnings per policy; reconcile to investment statements; maintain rent rolls. Examples: Interest earnings; rental income; royalties. Exclusions: Proceeds from sale of assets (often other financing sources/uses).</w:t>
      </w:r>
    </w:p>
    <w:p>
      <w:pPr>
        <w:pStyle w:val="Heading3"/>
      </w:pPr>
      <w:r>
        <w:t xml:space="preserve">08 - Contributions &amp; Donations</w:t>
      </w:r>
    </w:p>
    <w:p>
      <w:r>
        <w:t xml:space="preserve">3410 Contributions &amp; Donations Contributions and donations include voluntary inflows from donors (cash or in-kind) that are not taxes and are often restricted by donor intent. Accounting: Maintain donor documentation; track restrictions; value in-kind contributions consistently. Examples: Private donations to parks; donated equipment; community foundation grants (non-government). Exclusions: Government grants (intergovernmental).</w:t>
      </w:r>
    </w:p>
    <w:p>
      <w:r>
        <w:t xml:space="preserve">3411-3419 Contributions &amp; Donations – Local Detail Reserved local-detail block for Contributions and donations include voluntary inflows from donors (cash or in-kind) that are not taxes and are often restricted by donor intent. GASB: Use for additional Accounting: Maintain donor documentation; track restrictions; value in-kind contributions consistently. Examples: Private donations to parks; donated equipment; community foundation grants (non-government). Exclusions: Government grants (intergovernmental).</w:t>
      </w:r>
    </w:p>
    <w:p>
      <w:pPr>
        <w:pStyle w:val="Heading3"/>
      </w:pPr>
      <w:r>
        <w:t xml:space="preserve">09 - Miscellaneous / Other</w:t>
      </w:r>
    </w:p>
    <w:p>
      <w:r>
        <w:t xml:space="preserve">3420 Miscellaneous / Other Revenues Miscellaneous revenues include incidental revenues that do not fit other categories. Avoid using this code for material recurring revenue sources—create local objects instead. Accounting: If a source becomes recurring/material, move it into a dedicated local object in the appropriate range for comparability. Examples: Insurance recoveries; refunds; miscellaneous reimbursements. Exclusions: Regular service charges, taxes, or grant revenues.</w:t>
      </w:r>
    </w:p>
    <w:p>
      <w:r>
        <w:t xml:space="preserve">3421-3429 Miscellaneous / Other Revenues – Local Detail Reserved local-detail block for Miscellaneous revenues include incidental revenues that do not fit other categories. Avoid using this code for material recurring revenue sources—create local objects instead. GASB: Use for additional Accounting: If a source becomes recurring/material, move it into a dedicated local object in the appropriate range for comparability. Examples: Insurance recoveries; refunds; miscellaneous reimbursements. Exclusions: Regular service charges, taxes, or grant revenues.</w:t>
      </w:r>
    </w:p>
    <w:p>
      <w:r>
        <w:t xml:space="preserve">3430-3999 Other Revenues – Local Detail Reserved local-detail block for additional miscellaneous revenue sources while preserving rollups to the FTR miscellaneous category. Accounting: Use for recurring miscellaneous revenues that benefit from separate tracking but do not fit other categories. Examples: Cost recoveries; rebates; specific reimbursements not intergovernmental. Exclusions: Do not use as a dumping ground for taxes/fees/grants.</w:t>
      </w:r>
    </w:p>
    <w:p>
      <w:pPr>
        <w:pStyle w:val="Heading2"/>
      </w:pPr>
      <w:r>
        <w:t xml:space="preserve">40 - Payroll &amp; Benefits</w:t>
      </w:r>
    </w:p>
    <w:p>
      <w:pPr>
        <w:pStyle w:val="Heading3"/>
      </w:pPr>
      <w:r>
        <w:t xml:space="preserve">01 - Transfers</w:t>
      </w:r>
    </w:p>
    <w:p>
      <w:r>
        <w:t xml:space="preserve">4000 Salaries &amp; Wages – Regular Regular salaries and wages include base pay for full-time employees and standard recurring wage compensation. Accounting: Tie to payroll register. Use function/department allocation to support program costing and FTR functional reporting. Examples: Regular pay for full-time employees; straight-time wages. Exclusions: Overtime (4020), temporary/extra help (4030), premium/supplemental pay (4040).</w:t>
      </w:r>
    </w:p>
    <w:p>
      <w:r>
        <w:t xml:space="preserve">4010 Salaries &amp; Wages – Part-Time/Seasonal Part-time/seasonal salaries and wages include compensation for part-time, seasonal, and intermittent employees. Accounting: Use for non-full-time positions where tracking is needed for staffing analysis. Examples: Recreation seasonal staff; part-time office support. Exclusions: Extra help paid through temp agencies (vendor—use 5100/5200 depending on contract).</w:t>
      </w:r>
    </w:p>
    <w:p>
      <w:r>
        <w:t xml:space="preserve">4020 Salaries &amp; Wages – Overtime Overtime salaries and wages include compensation paid at overtime rates for hours worked beyond standard schedules. Accounting: Track overtime separately for policy and labor reporting. Ensure overtime is allocated to the benefitting program when possible. Examples: Public safety overtime; emergency response overtime. Exclusions: Premium pay types like standby or bilingual (4040) if separated by policy.</w:t>
      </w:r>
    </w:p>
    <w:p>
      <w:r>
        <w:t xml:space="preserve">4030 Extra Help / Temporary Wages Extra help/temporary wages include wages paid to temporary employees or short-duration hires on the payroll system. Accounting: Use when individuals are employees on payroll. If paid to a staffing vendor, classify as contract services. Examples: Temporary clerical hire on payroll; limited-duration field worker. Exclusions: Vendor staffing services (5100+).</w:t>
      </w:r>
    </w:p>
    <w:p>
      <w:r>
        <w:t xml:space="preserve">4040 Premium / Special / Supplemental Pay Premium/special/supplemental pay includes compensation elements beyond base wages, such as differentials and special assignment pays. Accounting: Define premium pay types in payroll system and map consistently. Helps bargaining unit analysis. Examples: Bilingual pay; shift differentials; standby pay; special assignment pay. Exclusions: Overtime (4020) unless policy includes overtime premiums here.</w:t>
      </w:r>
    </w:p>
    <w:p>
      <w:r>
        <w:t xml:space="preserve">4050-4099 Payroll – Local Detail Reserved local-detail block for payroll wages. Use for city-specific wage categories and bargaining-unit breakdowns while preserving rollups. Accounting: Define local wage categories (e.g., safety vs non-safety, stipend types) and keep consistent year to year. Examples: Stipends (if employee compensation); special pay categories by MOU. Exclusions: Contractor/consultant payments (5100+).</w:t>
      </w:r>
    </w:p>
    <w:p>
      <w:pPr>
        <w:pStyle w:val="Heading3"/>
      </w:pPr>
      <w:r>
        <w:t xml:space="preserve">02 - Proceeds of Debt</w:t>
      </w:r>
    </w:p>
    <w:p>
      <w:r>
        <w:t xml:space="preserve">4100 Retirement Contributions Retirement contributions include employer-paid retirement costs (e.g., CalPERS employer contributions) and other retirement-related payments. Accounting: Tie to retirement invoices and payroll reports. Separate normal cost vs UAL if desired via local detail. Examples: CalPERS employer contributions; pension side-fund payments (if expensed). Exclusions: Employee withholdings (not city expense) unless city-paid.</w:t>
      </w:r>
    </w:p>
    <w:p>
      <w:r>
        <w:t xml:space="preserve">4110 Health Insurance Health insurance includes employer-paid medical insurance premiums and contributions for employee health coverage. Accounting: Tie to carrier invoices and benefit election schedules. Allocate by department/function if used. Examples: Medical premiums; HMO/PPO contributions. Exclusions: Dental/vision (4120) if tracked separately.</w:t>
      </w:r>
    </w:p>
    <w:p>
      <w:r>
        <w:t xml:space="preserve">4120 Dental/Vision Insurance Dental/vision includes employer-paid dental and vision insurance premiums or contributions. Accounting: Tie to carrier invoices. Combine with health only if immaterial and policy allows. Examples: Dental premiums; vision premiums. Exclusions: Medical insurance (4110).</w:t>
      </w:r>
    </w:p>
    <w:p>
      <w:r>
        <w:t xml:space="preserve">4130 FICA / Medicare FICA/Medicare includes employer payroll tax contributions for Social Security and Medicare (and related payroll taxes). Accounting: Tie to payroll registers and tax filings. Separate Medicare-only plans as needed. Examples: Employer FICA; employer Medicare. Exclusions: Workers' comp (4140).</w:t>
      </w:r>
    </w:p>
    <w:p>
      <w:r>
        <w:t xml:space="preserve">4140 Workers’ Compensation Workers’ compensation includes employer costs for workers’ compensation premiums, claims programs, and related charges. Accounting: Tie to premium invoices/allocations and claims schedules. Consider separating self-insurance charges via local detail. Examples: Workers’ compensation premium; administered claims charges. Exclusions: General liability insurance (5220) or claims payments (5230) depending on policy.</w:t>
      </w:r>
    </w:p>
    <w:p>
      <w:r>
        <w:t xml:space="preserve">4150 Other Employee Benefits Other employee benefits includes employer costs for benefits not otherwise classified, such as life insurance, EAP, uniforms allowance (if benefit), and other miscellaneous benefits. Accounting: Define components clearly and use local detail for recurring material benefits (e.g., life/AD&amp;D). Examples: Life insurance; long-term disability; employee assistance programs. Exclusions: Employee compensation wages (4000–4040).</w:t>
      </w:r>
    </w:p>
    <w:p>
      <w:r>
        <w:t xml:space="preserve">4160-4199 Employee Benefits – Local Detail Reserved local-detail block for benefits. Use for detailed benefit components (e.g., retiree health pay-go, cafeteria plans) while preserving rollups. Accounting: Define local benefit objects and keep them stable to support trend analysis and audit support. Examples: Retiree health pay-go; OPEB trust contributions; supplemental benefits. Exclusions: Payroll accrual liabilities (2010) and long-term benefit liabilities (2230) unless policy requires otherwise.</w:t>
      </w:r>
    </w:p>
    <w:p>
      <w:r>
        <w:t xml:space="preserve">4980 Payroll Suspense / Clearing Used to stage payroll or AP costs pending proper allocation. GASB: Expenses recognized when incurred but classification pending. Accounting: Must clear to proper expenditure object after reconciliation. Reporting: Used during payroll imports or cost allocation staging. Examples: Payroll system mismatches; benefit allocation staging. Exclusions: Not for ongoing operating expense posting.</w:t>
      </w:r>
    </w:p>
    <w:p>
      <w:r>
        <w:t xml:space="preserve">4981-4989 Payroll Suspense / Clearing - Local Detail Used to stage payroll or AP costs pending proper allocation. GASB: Expenses recognized when incurred but classification pending. Accounting: Must clear to proper expenditure object after reconciliation. Reporting: Used during payroll imports or cost allocation staging. Examples: Payroll system mismatches; benefit allocation staging. Exclusions: Not for ongoing operating expense posting.</w:t>
      </w:r>
    </w:p>
    <w:p>
      <w:pPr>
        <w:pStyle w:val="Heading3"/>
      </w:pPr>
      <w:r>
        <w:t xml:space="preserve">99 - 99</w:t>
      </w:r>
    </w:p>
    <w:p>
      <w:r>
        <w:t xml:space="preserve">4990-4999 Payroll Contra - Local Detail Payroll contra objects reverse or reclassify payroll and benefit charges without losing the original detailed expenditure coding. Accounting: Use for payroll reallocations, capitalization of labor, year-end correction entries, or accrual reversals tied back to original payroll lines. Reporting: Report as negative payroll and benefits where included in expenditure reporting. Examples: Reverse payroll charged to wrong department; capitalize labor to CIP; reverse benefit accrual entry. Exclusions: Do not use as a substitute for normal payroll expense coding.</w:t>
      </w:r>
    </w:p>
    <w:p>
      <w:pPr>
        <w:pStyle w:val="Heading2"/>
      </w:pPr>
      <w:r>
        <w:t xml:space="preserve">50 - Materials &amp; Services</w:t>
      </w:r>
    </w:p>
    <w:p>
      <w:pPr>
        <w:pStyle w:val="Heading3"/>
      </w:pPr>
      <w:r>
        <w:t xml:space="preserve">01 - Transfers</w:t>
      </w:r>
    </w:p>
    <w:p>
      <w:r>
        <w:t xml:space="preserve">5000 Materials &amp; Supplies Materials &amp; supplies include consumable items used in operations such as office, field, and program supplies. Accounting: Use local detail to separate major supply families. For inventory-based supplies, expense upon consumption per policy. Examples: Office supplies; field supplies; safety supplies. Exclusions: Contracted services (5100+) and capitalized equipment (6030).</w:t>
      </w:r>
    </w:p>
    <w:p>
      <w:r>
        <w:t xml:space="preserve">5010 Fuel &amp; Utilities (Supplies) Fuel &amp; utilities (supplies) include consumable fuel and similar purchased consumables used in operations. Accounting: Use for fuel and similar consumables (fleet fuel). Distinguish from operating utilities (5210) per policy. Examples: Gasoline; diesel; propane for operations. Exclusions: Electricity/natural gas utility bills (5210) if treated as operating utilities.</w:t>
      </w:r>
    </w:p>
    <w:p>
      <w:r>
        <w:t xml:space="preserve">5020 Maintenance Supplies Maintenance supplies include parts and supplies used for maintenance and repair activities performed by city staff. Accounting: If maintenance is contracted to vendors, use 5130 (contracted repairs). Examples: Vehicle parts; pipe and fittings; building maintenance supplies. Exclusions: Contracted repairs (5130); capital improvements (6000–6999).</w:t>
      </w:r>
    </w:p>
    <w:p>
      <w:r>
        <w:t xml:space="preserve">5030-5099 Materials &amp; Supplies – Local Detail Reserved local-detail block for materials &amp; supplies. Use for detailed supply families (chemicals, uniforms, small tools) while preserving rollups. Accounting: Define supply subcategories that matter for operations and benchmarking. Avoid using miscellaneous for recurring supplies. Examples: Water treatment chemicals; uniforms; small tools below capitalization threshold. Exclusions: Capitalized tools/equipment (6030) if capitalized.</w:t>
      </w:r>
    </w:p>
    <w:p>
      <w:pPr>
        <w:pStyle w:val="Heading3"/>
      </w:pPr>
      <w:r>
        <w:t xml:space="preserve">02 - Proceeds of Debt</w:t>
      </w:r>
    </w:p>
    <w:p>
      <w:r>
        <w:t xml:space="preserve">5100 Professional &amp; Contract Services Professional &amp; contract services include payments to vendors for services received, including professional services and contracted operations/maintenance. Accounting: Maintain contracts and invoices. Use VENDOR_TYPE and PROC_METHOD dimensions where needed for FTR 1:1 mapping. Examples: Professional services; contracted operations; consulting. Exclusions: Employee compensation (4000–4199).</w:t>
      </w:r>
    </w:p>
    <w:p>
      <w:r>
        <w:t xml:space="preserve">5110 Legal / Audit / Consulting Legal/audit/consulting includes professional services such as legal counsel, audit services, specialized consulting, and related professional fees. Accounting: Track by engagement and contract; consider separating audit vs legal vs consulting via local detail if desired. Examples: Annual audit engagement; city attorney contract; financial consulting. Exclusions: Routine contracted maintenance (5130) unless included in professional services contract.</w:t>
      </w:r>
    </w:p>
    <w:p>
      <w:r>
        <w:t xml:space="preserve">5120 IT / Communications Services IT/communications services include contracted IT services, software subscriptions (if treated as services), telecom services, and related vendor costs. Accounting: Coordinate with capitalization policy for software and subscriptions; some items may be treated as capital or subscription liabilities under applicable guidance. Examples: Managed IT services; telecom; cloud service subscriptions. Exclusions: Capitalized software projects (use capital outlay local detail if capitalized).</w:t>
      </w:r>
    </w:p>
    <w:p>
      <w:r>
        <w:t xml:space="preserve">5130 Repairs &amp; Maintenance (Contracted) Repairs &amp; maintenance (contracted) includes vendor costs for repairs, maintenance, and contracted upkeep of facilities, equipment, and infrastructure. Accounting: Use for vendor-performed maintenance/repairs. If work extends useful life or increases capacity, consider capital outlay. Examples: HVAC repair contract; street patching contract; equipment repair vendor. Exclusions: Maintenance supplies for staff-performed work (5020); capital improvements (6000–6999).</w:t>
      </w:r>
    </w:p>
    <w:p>
      <w:r>
        <w:t xml:space="preserve">5140-5199 Contract Services – Local Detail Reserved local-detail block for contract services. Use for detailed service families (engineering, janitorial, security) while preserving rollups. Accounting: Define major contract service categories that are recurring and material. Capture vendor type/proc method as needed. Examples: Engineering services; janitorial contracts; security services; training vendors. Exclusions: Supplies (5000–5099) and payroll (4000–4199).</w:t>
      </w:r>
    </w:p>
    <w:p>
      <w:pPr>
        <w:pStyle w:val="Heading3"/>
      </w:pPr>
      <w:r>
        <w:t xml:space="preserve">03 - Sale of Capital Assets</w:t>
      </w:r>
    </w:p>
    <w:p>
      <w:r>
        <w:t xml:space="preserve">5200 Other Operating Expenditures Other operating expenditures include recurring operating costs not classified elsewhere, serving as a header for the 5200 series. Accounting: Use the more specific 5210–5280 objects when available; reserve 5200 for true catch-all only if immaterial. Examples: Small operating expenses not fitting other codes. Exclusions: Do not use for major recurring items; instead use specific objects or local detail.</w:t>
      </w:r>
    </w:p>
    <w:p>
      <w:r>
        <w:t xml:space="preserve">5210 Utilities (Operating) Utilities (operating) include electricity, natural gas, water purchased, sewer charges, and similar utility bills for facilities and operations. Accounting: Reconcile to utility invoices. Separate enterprise utility cost of power vs operating utilities via policy. Examples: Electricity bills; natural gas; water purchased for operations. Exclusions: Fleet fuel (5010) if tracked as supply.</w:t>
      </w:r>
    </w:p>
    <w:p>
      <w:r>
        <w:t xml:space="preserve">5220 Insurance Insurance includes premiums and insurance-related charges for general liability, property, and other insurance programs (excluding workers’ comp if tracked separately). Accounting: Maintain premium schedules and allocations. Separate insurance claims payments (5230) as policy requires. Examples: General liability premiums; property insurance; cyber insurance. Exclusions: Workers' compensation (4140) and claims payments (5230).</w:t>
      </w:r>
    </w:p>
    <w:p>
      <w:r>
        <w:t xml:space="preserve">5230 Claims &amp; Judgments Claims &amp; judgments include payments for claims, settlements, judgments, and related costs not recorded as insurance premiums. Accounting: Maintain claims schedules and legal documentation; coordinate classification with risk management and auditors. Examples: Claims settlement payments; litigation judgments; self-insured claim payouts. Exclusions: Insurance premiums (5220).</w:t>
      </w:r>
    </w:p>
    <w:p>
      <w:r>
        <w:t xml:space="preserve">5240 Travel / Training / Conferences Travel/training/conferences include employee travel costs and training expenses, including registration, travel, lodging, and related costs. Accounting: Ensure policy compliance and documentation. Consider separating training vs travel via local detail if material. Examples: Conference registration; airfare; lodging; mileage reimbursement. Exclusions: Memberships/dues (5250).</w:t>
      </w:r>
    </w:p>
    <w:p>
      <w:r>
        <w:t xml:space="preserve">5250 Memberships / Dues / Subscriptions Memberships/dues/subscriptions include professional memberships, dues, and subscriptions (excluding IT subscriptions classified under 5120 if policy dictates). Accounting: Maintain subscription lists and renewals. Classify software subscriptions per accounting policy. Examples: League membership dues; professional association memberships; journal subscriptions. Exclusions: Software/IT subscriptions (5120) if treated as IT services.</w:t>
      </w:r>
    </w:p>
    <w:p>
      <w:r>
        <w:t xml:space="preserve">5260 Bank / Trustee / Paying Agent Fees Bank/trustee/paying agent fees include financial services fees such as bank charges and trustee/paying agent fees. Accounting: Tie to bank statements and trustee invoices. Some debt-related fees may map to 7020 depending on policy. Examples: Bank service charges; trustee fees; paying agent fees. Exclusions: Debt issuance costs (7020) if classified separately.</w:t>
      </w:r>
    </w:p>
    <w:p>
      <w:r>
        <w:t xml:space="preserve">5270 Rentals &amp; Leases Rentals &amp; leases include payments for short-term rentals and leases expensed as incurred (facilities, equipment) under city policy. Accounting: If lease liability recognition applies, record liability in 2210 and classify expense components consistently. Examples: Copier rentals; facility rentals; equipment rentals. Exclusions: Capital lease/recognized lease liabilities (2210) for balance-sheet; capital outlay if purchased.</w:t>
      </w:r>
    </w:p>
    <w:p>
      <w:r>
        <w:t xml:space="preserve">5280 Miscellaneous Operating Miscellaneous operating includes other operating costs that do not fit the specific objects above. Avoid using for recurring costs—use local detail or specific objects. Accounting: If recurring, create/use a local-detail object within 5290–5299 or other appropriate range. Examples: Small incidental operating expenses; refunds/chargebacks (if expensed). Exclusions: Major recurring utilities/insurance/services.</w:t>
      </w:r>
    </w:p>
    <w:p>
      <w:r>
        <w:t xml:space="preserve">5290-5299 Other Operating – Local Detail Reserved local-detail block for other operating. Use for city-specific operating categories (communications, advertising, elections) while preserving rollups. Accounting: Define local operating subcategories and keep stable for trend analysis and audit support. Examples: Advertising/public notices; election costs; specialized communications costs. Exclusions: Supplies and contract services unless policy dictates otherwise.</w:t>
      </w:r>
    </w:p>
    <w:p>
      <w:r>
        <w:t xml:space="preserve">5980 Expenditure Suspense / Clearing Used to stage unknown expense or AP costs pending proper allocation. GASB: Expenses recognized when incurred but classification pending. Accounting: Must clear to proper expenditure object after reconciliation. Reporting: Used during expenditure imports or cost allocation staging. Examples: Expenditure system mismatches; Expense allocation staging. Exclusions: Not for ongoing operating expense posting.</w:t>
      </w:r>
    </w:p>
    <w:p>
      <w:r>
        <w:t xml:space="preserve">5981-5989 Expenditure Suspense / Clearing Used to stage unknown expense or AP costs pending proper allocation. GASB: Expenses recognized when incurred but classification pending. Accounting: Must clear to proper expenditure object after reconciliation. Reporting: Used during expenditure imports or cost allocation staging. Examples: Expenditure system mismatches; Expense allocation staging. Exclusions: Not for ongoing operating expense posting.</w:t>
      </w:r>
    </w:p>
    <w:p>
      <w:pPr>
        <w:pStyle w:val="Heading3"/>
      </w:pPr>
      <w:r>
        <w:t xml:space="preserve">99 - 99</w:t>
      </w:r>
    </w:p>
    <w:p>
      <w:r>
        <w:t xml:space="preserve">5990-5999 Operating Expense Contra - Local Detail Operating expense contra objects reverse or reclassify nonpayroll operating expenses without losing the original detailed expenditure coding. Accounting: Use for prepaid adjustments, inventory reclasses, internal reallocations, grant cost transfers, and error corrections tied back to original operating expense lines. Reporting: Report as negative operating expense where included in expenditure reporting. Examples: Reclass supplies to inventory; reverse miscoded contract services; move costs between grant and nongrant activity. Exclusions: Do not use as a general suspense or clearing block.</w:t>
      </w:r>
    </w:p>
    <w:p>
      <w:pPr>
        <w:pStyle w:val="Heading2"/>
      </w:pPr>
      <w:r>
        <w:t xml:space="preserve">60 - Capital Outlay</w:t>
      </w:r>
    </w:p>
    <w:p>
      <w:pPr>
        <w:pStyle w:val="Heading3"/>
      </w:pPr>
      <w:r>
        <w:t xml:space="preserve">01 - Transfers</w:t>
      </w:r>
    </w:p>
    <w:p>
      <w:r>
        <w:t xml:space="preserve">6000-6189 Capital Outlay - Land Capital outlay - land includes costs to acquire land and land rights, including purchase price and acquisition-related costs per policy. Accounting: Use detailed local objects in 6000-6189 to preserve parcel, site, or acquisition-phase detail. Include closing costs where capitalizable. Track by CIP/project where applicable. Reporting: Roll up to capital outlay - land in reporting. Examples: Land purchase; easements acquisition; right-of-way acquisition; parcel-specific CIP land costs. Exclusions: Land improvements (may be 6400-6589 or 6200-6389 depending on asset type) and routine maintenance.</w:t>
      </w:r>
    </w:p>
    <w:p>
      <w:pPr>
        <w:pStyle w:val="Heading3"/>
      </w:pPr>
      <w:r>
        <w:t xml:space="preserve">91 - 91</w:t>
      </w:r>
    </w:p>
    <w:p>
      <w:r>
        <w:t xml:space="preserve">6190-6199 Capital Outlay Contra - Land Contra capital outlay - land is used to reverse or reclassify land outlay entries while preserving the original detailed expenditure coding. Accounting: Use for capitalization adjustments, error corrections, or reclasses tied back to original 6000-6189 land detail. Reporting: Report as negative capital outlay - land when included in expenditure reporting. Examples: Reverse land acquisition journal; reclass land outlay to balance sheet asset schedule. Exclusions: Do not use as a generic clearing account for non-land transactions.</w:t>
      </w:r>
    </w:p>
    <w:p>
      <w:pPr>
        <w:pStyle w:val="Heading3"/>
      </w:pPr>
      <w:r>
        <w:t xml:space="preserve">02 - Proceeds of Debt</w:t>
      </w:r>
    </w:p>
    <w:p>
      <w:r>
        <w:t xml:space="preserve">6200-6389 Capital Outlay - Buildings Capital outlay - buildings includes acquisition, construction, and major improvements to buildings. Accounting: Track project costs and capitalization eligibility. Coordinate with asset register additions. Use detailed local objects in 6200-6389 for phase or component detail. Reporting: Roll up to capital outlay - buildings in reporting. Examples: Building construction; major remodel; HVAC replacement if capitalized; componentized building improvements. Exclusions: Routine repairs and maintenance.</w:t>
      </w:r>
    </w:p>
    <w:p>
      <w:pPr>
        <w:pStyle w:val="Heading3"/>
      </w:pPr>
      <w:r>
        <w:t xml:space="preserve">92 - 92</w:t>
      </w:r>
    </w:p>
    <w:p>
      <w:r>
        <w:t xml:space="preserve">6390-6399 Capital Outlay Contra - Buildings Contra capital outlay - buildings is used to reverse or reclassify building outlay entries while preserving the original detailed expenditure coding. Accounting: Use for capitalization adjustments, component reallocations, or corrections tied back to original 6200-6389 detail. Reporting: Report as negative capital outlay - buildings when included in expenditure reporting. Examples: Reverse building CIP outlay; reclass improvement costs to asset schedule. Exclusions: Do not use for operating facilities expense reversals.</w:t>
      </w:r>
    </w:p>
    <w:p>
      <w:pPr>
        <w:pStyle w:val="Heading3"/>
      </w:pPr>
      <w:r>
        <w:t xml:space="preserve">03 - Sale of Capital Assets</w:t>
      </w:r>
    </w:p>
    <w:p>
      <w:r>
        <w:t xml:space="preserve">6400-6589 Capital Outlay - Infrastructure Capital outlay - infrastructure includes construction and major improvements to infrastructure systems such as streets, utilities, and storm drains. Accounting: Track by project. Coordinate with grant-funded components and capitalization policies. Use detailed local objects in 6400-6589 for component-level detail. Reporting: Roll up to capital outlay - infrastructure in reporting. Examples: Street reconstruction; water line replacement; sewer rehab project; storm drain improvements. Exclusions: Routine patching and maintenance.</w:t>
      </w:r>
    </w:p>
    <w:p>
      <w:pPr>
        <w:pStyle w:val="Heading3"/>
      </w:pPr>
      <w:r>
        <w:t xml:space="preserve">93 - 93</w:t>
      </w:r>
    </w:p>
    <w:p>
      <w:r>
        <w:t xml:space="preserve">6590-6599 Capital Outlay Contra - Infrastructure Contra capital outlay - infrastructure is used to reverse or reclassify infrastructure outlay entries while preserving original detailed expenditure coding. Accounting: Use for capitalization adjustments, grant reallocations, or corrections tied back to original 6400-6589 detail. Reporting: Report as negative capital outlay - infrastructure when included in expenditure reporting. Examples: Reverse utility CIP outlay; reclass street project costs to asset schedule. Exclusions: Do not use for noncapital public works operating costs.</w:t>
      </w:r>
    </w:p>
    <w:p>
      <w:pPr>
        <w:pStyle w:val="Heading3"/>
      </w:pPr>
      <w:r>
        <w:t xml:space="preserve">04 - Equipment/Vehicles</w:t>
      </w:r>
    </w:p>
    <w:p>
      <w:r>
        <w:t xml:space="preserve">6600-6789 Capital Outlay - Equipment/Vehicles Capital outlay - equipment and vehicles includes capital purchases of equipment, vehicles, and technology that meet capitalization thresholds. Accounting: Apply capitalization policy, tag and record in asset register, and separate component purchases if needed. Use detailed local objects in 6600-6789 to preserve asset category detail. Reporting: Roll up to capital outlay - equipment and vehicles in reporting. Examples: Fleet vehicle purchase; fire apparatus; servers and major IT hardware if capitalized. Exclusions: Small tools and supplies below threshold.</w:t>
      </w:r>
    </w:p>
    <w:p>
      <w:pPr>
        <w:pStyle w:val="Heading3"/>
      </w:pPr>
      <w:r>
        <w:t xml:space="preserve">94 - 94</w:t>
      </w:r>
    </w:p>
    <w:p>
      <w:r>
        <w:t xml:space="preserve">6790-6799 Capital Outlay Contra - Equipment/Vehicles Contra capital outlay - equipment and vehicles is used to reverse or reclassify equipment and vehicle outlay entries while preserving original detailed expenditure coding. Accounting: Use for capitalization adjustments, component reallocations, or corrections tied back to original 6600-6789 detail. Reporting: Report as negative capital outlay - equipment and vehicles when included in expenditure reporting. Examples: Reverse fleet acquisition outlay; reclass capitalized IT hardware costs. Exclusions: Do not use for noncapital operating equipment expense.</w:t>
      </w:r>
    </w:p>
    <w:p>
      <w:pPr>
        <w:pStyle w:val="Heading3"/>
      </w:pPr>
      <w:r>
        <w:t xml:space="preserve">90 - Other Financing — Other/Detail</w:t>
      </w:r>
    </w:p>
    <w:p>
      <w:r>
        <w:t xml:space="preserve">6800-6989 Capital Outlay - Local Detail Reserved local-detail block for capital outlay. Use for CIP components, specialized asset classes, or project phases while preserving rollups. Accounting: Define local capital objects by project type or asset component such as design, construction, and inspection. Ensure reconciliation to CIP and asset additions. Reporting: Roll up to capital outlay - local detail in reporting. Examples: CIP design costs; construction management; specialized infrastructure components. Exclusions: Operating repairs and maintenance; debt service payments.</w:t>
      </w:r>
    </w:p>
    <w:p>
      <w:pPr>
        <w:pStyle w:val="Heading3"/>
      </w:pPr>
      <w:r>
        <w:t xml:space="preserve">95 - 95</w:t>
      </w:r>
    </w:p>
    <w:p>
      <w:r>
        <w:t xml:space="preserve">6990-6999 Capital Outlay Contra - Local Detail Contra capital outlay - local detail is used to reverse or reclassify agency-defined capital outlay entries while preserving the original detailed expenditure coding. Accounting: Use for project-specific capitalization adjustments, depreciation-related reclasses out of current-period capital outlay, or correction entries tied back to 6800-6989 detail. Reporting: Report as negative capital outlay - local detail when included in expenditure reporting. Examples: Reverse project-specific capital outlay; reclass local capital detail to balance sheet asset schedule; eliminate duplicate capital posting. Exclusions: Do not use as a general suspense or miscellaneous correction account.</w:t>
      </w:r>
    </w:p>
    <w:p>
      <w:pPr>
        <w:pStyle w:val="Heading2"/>
      </w:pPr>
      <w:r>
        <w:t xml:space="preserve">70 - Debt Service</w:t>
      </w:r>
    </w:p>
    <w:p>
      <w:pPr>
        <w:pStyle w:val="Heading3"/>
      </w:pPr>
      <w:r>
        <w:t xml:space="preserve">01 - Transfers</w:t>
      </w:r>
    </w:p>
    <w:p>
      <w:r>
        <w:t xml:space="preserve">7000 Debt Service – Principal Debt service – principal includes payments that reduce outstanding debt or financing obligations (principal amortization). Accounting: Tie to amortization schedule and trustee statements. Examples: Bond principal payment; loan principal payment. Exclusions: Interest (7010) and issuance costs (7020).</w:t>
      </w:r>
    </w:p>
    <w:p>
      <w:r>
        <w:t xml:space="preserve">7001-7009 Debt Service – Principal – Local Detail Reserved local-detail block for Debt service – principal includes payments that reduce outstanding debt or financing obligations (principal amortization). GASB: Use for additional Accounting: Tie to amortization schedule and trustee statements. Examples: Bond principal payment; loan principal payment. Exclusions: Interest (7010) and issuance costs (7020).</w:t>
      </w:r>
    </w:p>
    <w:p>
      <w:pPr>
        <w:pStyle w:val="Heading3"/>
      </w:pPr>
      <w:r>
        <w:t xml:space="preserve">02 - Proceeds of Debt</w:t>
      </w:r>
    </w:p>
    <w:p>
      <w:r>
        <w:t xml:space="preserve">7010 Debt Service – Interest Debt service – interest includes interest payments/expense on outstanding debt or financing obligations. Accounting: Tie to trustee statements; accrue interest where required for accrual statements. Examples: Bond interest payment; loan interest. Exclusions: Principal (7000).</w:t>
      </w:r>
    </w:p>
    <w:p>
      <w:r>
        <w:t xml:space="preserve">7011-7019 Debt Service – Interest – Local Detail Reserved local-detail block for Debt service – interest includes interest payments/expense on outstanding debt or financing obligations. GASB: Use for additional Accounting: Tie to trustee statements; accrue interest where required for accrual statements. Examples: Bond interest payment; loan interest. Exclusions: Principal (7000).</w:t>
      </w:r>
    </w:p>
    <w:p>
      <w:pPr>
        <w:pStyle w:val="Heading3"/>
      </w:pPr>
      <w:r>
        <w:t xml:space="preserve">03 - Sale of Capital Assets</w:t>
      </w:r>
    </w:p>
    <w:p>
      <w:r>
        <w:t xml:space="preserve">7020 Debt Issuance Costs Debt issuance costs include debt-related costs and fiscal charges as defined by policy (e.g., issuance expenses, fiscal agent fees) when classified here. Accounting: Coordinate with auditors for classification; maintain invoices and bond closing documentation. Examples: Bond counsel fees (if expensed); trustee set-up fees; issuance administrative costs. Exclusions: Routine bank fees (5260) unless debt-specific; principal/interest.</w:t>
      </w:r>
    </w:p>
    <w:p>
      <w:r>
        <w:t xml:space="preserve">7021-7029 Debt Issuance Costs – Local Detail Reserved local-detail block for Debt issuance costs include debt-related costs and fiscal charges as defined by policy (e.g., issuance expenses, fiscal agent fees) when classified here. GASB: Use for additional Accounting: Coordinate with auditors for classification; maintain invoices and bond closing documentation. Examples: Bond counsel fees (if expensed); trustee set-up fees; issuance administrative costs. Exclusions: Routine bank fees (5260) unless debt-specific; principal/interest.</w:t>
      </w:r>
    </w:p>
    <w:p>
      <w:pPr>
        <w:pStyle w:val="Heading3"/>
      </w:pPr>
      <w:r>
        <w:t xml:space="preserve">90 - Other Financing — Other/Detail</w:t>
      </w:r>
    </w:p>
    <w:p>
      <w:r>
        <w:t xml:space="preserve">7030-7989 Debt Service – Local Detail Reserved local-detail block for debt service. Use to identify payments by debt issue or financing type while preserving rollups. Accounting: Define local objects for specific bond issues/loans/leases (principal vs interest) if detailed reporting is needed. Examples: Specific bond series principal; lease interest; short-term note payments. Exclusions: Do not use for new debt proceeds (often other financing sources/uses).</w:t>
      </w:r>
    </w:p>
    <w:p>
      <w:pPr>
        <w:pStyle w:val="Heading3"/>
      </w:pPr>
      <w:r>
        <w:t xml:space="preserve">99 - 99</w:t>
      </w:r>
    </w:p>
    <w:p>
      <w:r>
        <w:t xml:space="preserve">7990-7999 Debt Service Contra - Local Detail Debt service contra objects reverse or reclassify principal, interest, and issuance-cost activity without losing original debt service coding. Accounting: Use for debt payment corrections, refinancing reallocations, refunding true-ups, or timing reversals tied to original debt service lines. Reporting: Report as negative debt service where included in expenditure reporting. Examples: Reverse principal posted to wrong issue; reclass interest between debt programs; unwind year-end debt accrual. Exclusions: Do not use for transfers or other financing sources and uses.</w:t>
      </w:r>
    </w:p>
    <w:p>
      <w:pPr>
        <w:pStyle w:val="Heading2"/>
      </w:pPr>
      <w:r>
        <w:t xml:space="preserve">80 - Other Financing Sources/Uses</w:t>
      </w:r>
    </w:p>
    <w:p>
      <w:pPr>
        <w:pStyle w:val="Heading3"/>
      </w:pPr>
      <w:r>
        <w:t xml:space="preserve">01 - Transfers</w:t>
      </w:r>
    </w:p>
    <w:p>
      <w:r>
        <w:t xml:space="preserve">8000 Transfers In Transfers in represent incoming interfund transfers that increase fund resources without being classified as revenue. GASB: Transfers are other financing sources/uses rather than revenues/expenses in governmental fund statements. Accounting: Post the receiving side to 8000. Ensure the sending side posts to 8010 in the originating fund for reconciliation. Reporting: Use for operating transfers, residual transfers, and legally authorized transfers into a fund. Examples: General Fund transfer in from enterprise; transfer in to CIP fund. Exclusions: Grant revenues (3200–3299) and charges for services (3300–3399).</w:t>
      </w:r>
    </w:p>
    <w:p>
      <w:r>
        <w:t xml:space="preserve">8001-8009 Transfers In – Local Detail Reserved local-detail block for Transfers in represent incoming interfund transfers that increase fund resources without being classified as revenue. GASB: Use for additional Transfers are other financing sources/uses rather than revenues/expenses in governmental fund statements. Accounting: Post the receiving side to 8000. Ensure the sending side posts to 8010 in the originating fund for reconciliation. Reporting: Use for operating transfers, residual transfers, and legally authorized transfers into a fund. Examples: General Fund transfer in from enterprise; transfer in to CIP fund. Exclusions: Grant revenues (3200–3299) and charges for services (3300–3399).</w:t>
      </w:r>
    </w:p>
    <w:p>
      <w:r>
        <w:t xml:space="preserve">8010 Transfers Out Transfers out represent outgoing interfund transfers that reduce fund resources without being classified as expenditure. GASB: Transfers are other financing sources/uses rather than revenues/expenses in governmental fund statements. Accounting: Post the sending side to 8010. Ensure the receiving fund posts to 8000 to reconcile and eliminate appropriately. Reporting: Use for operating transfers, residual transfers, and authorized fund contributions to other funds. Examples: Transfer out to debt service fund; transfer out to internal service for capitalization. Exclusions: Vendor payments (expenses) and debt principal/interest (7000–7020).</w:t>
      </w:r>
    </w:p>
    <w:p>
      <w:r>
        <w:t xml:space="preserve">8011-8019 Transfers Out – Local Detail Reserved local-detail block for Transfers out represent outgoing interfund transfers that reduce fund resources without being classified as expenditure. GASB: Use for additional Transfers are other financing sources/uses rather than revenues/expenses in governmental fund statements. Accounting: Post the sending side to 8010. Ensure the receiving fund posts to 8000 to reconcile and eliminate appropriately. Reporting: Use for operating transfers, residual transfers, and authorized fund contributions to other funds. Examples: Transfer out to debt service fund; transfer out to internal service for capitalization. Exclusions: Vendor payments (expenses) and debt principal/interest (7000–7020).</w:t>
      </w:r>
    </w:p>
    <w:p>
      <w:pPr>
        <w:pStyle w:val="Heading3"/>
      </w:pPr>
      <w:r>
        <w:t xml:space="preserve">02 - Proceeds of Debt</w:t>
      </w:r>
    </w:p>
    <w:p>
      <w:r>
        <w:t xml:space="preserve">8020 Proceeds of Debt Proceeds of debt represent inflows from issuing long-term debt or similar financing instruments. GASB: Debt proceeds are classified as other financing sources in governmental fund statements; liabilities are recorded in government-wide/proprietary statements. Accounting: Tie to bond/loan closing statements and trustee deposits. Post debt-related liability balances in 2200/2210 where applicable for accrual statements. Reporting: Use for new money proceeds and similar financing inflows. Examples: Bond proceeds deposited to project fund; loan draw proceeds. Exclusions: Transfers (8000/8010) and interest earnings (3400).</w:t>
      </w:r>
    </w:p>
    <w:p>
      <w:r>
        <w:t xml:space="preserve">8021-8029 Proceeds of Debt – Local Detail Reserved local-detail block for Proceeds of debt represent inflows from issuing long-term debt or similar financing instruments. GASB: Use for additional Debt proceeds are classified as other financing sources in governmental fund statements; liabilities are recorded in government-wide/proprietary statements. Accounting: Tie to bond/loan closing statements and trustee deposits. Post debt-related liability balances in 2200/2210 where applicable for accrual statements. Reporting: Use for new money proceeds and similar financing inflows. Examples: Bond proceeds deposited to project fund; loan draw proceeds. Exclusions: Transfers (8000/8010) and interest earnings (3400).</w:t>
      </w:r>
    </w:p>
    <w:p>
      <w:pPr>
        <w:pStyle w:val="Heading3"/>
      </w:pPr>
      <w:r>
        <w:t xml:space="preserve">03 - Sale of Capital Assets</w:t>
      </w:r>
    </w:p>
    <w:p>
      <w:r>
        <w:t xml:space="preserve">8030 Sale of Capital Assets Sale of capital assets represents inflows from the disposition of capital assets. GASB: In governmental funds, proceeds from sale of capital assets are other financing sources. In accrual statements, gains/losses may be recognized based on carrying value vs proceeds. Accounting: Reconcile to asset register disposals and sales documentation. Track selling costs per policy. Reporting: Use for proceeds from sale of equipment, land, or buildings. Examples: Auction proceeds from surplus vehicles; land sale proceeds. Exclusions: Operating revenues (fees/charges) and insurance recoveries (often revenue 3420 or local policy).</w:t>
      </w:r>
    </w:p>
    <w:p>
      <w:r>
        <w:t xml:space="preserve">8031-8499 Sale of Capital Assets – Local Detail Reserved local-detail block for Sale of capital assets represents inflows from the disposition of capital assets. GASB: Use for additional In governmental funds, proceeds from sale of capital assets are other financing sources. In accrual statements, gains/losses may be recognized based on carrying value vs proceeds. Accounting: Reconcile to asset register disposals and sales documentation. Track selling costs per policy. Reporting: Use for proceeds from sale of equipment, land, or buildings. Examples: Auction proceeds from surplus vehicles; land sale proceeds. Exclusions: Operating revenues (fees/charges) and insurance recoveries (often revenue 3420 or local policy).</w:t>
      </w:r>
    </w:p>
    <w:p>
      <w:pPr>
        <w:pStyle w:val="Heading3"/>
      </w:pPr>
      <w:r>
        <w:t xml:space="preserve">90 - Other Financing — Other/Detail</w:t>
      </w:r>
    </w:p>
    <w:p>
      <w:r>
        <w:t xml:space="preserve">8500-8989 Other Financing – Local Detail Reserved local-detail block for other financing sources/uses. Use for additional financing items requiring separate identification while preserving rollups. GASB: Use for other financing classifications consistent with transaction substance and reporting model (e.g., refunding proceeds, insurance recoveries treated as OFS/U by policy). Accounting: Define local financing objects and keep stable. Document classification decisions for audit defensibility. Reporting: Avoid using local detail for standard transfers—use 8000/8010. Use this block for specialized financing needs. Examples: Refunding proceeds; debt premium/discount as OFS/U (if policy); specialized financing inflows/outflows. Exclusions: Operating revenues/expenses; debt service payments.</w:t>
      </w:r>
    </w:p>
    <w:p>
      <w:pPr>
        <w:pStyle w:val="Heading3"/>
      </w:pPr>
      <w:r>
        <w:t xml:space="preserve">99 - 99</w:t>
      </w:r>
    </w:p>
    <w:p>
      <w:r>
        <w:t xml:space="preserve">8990-8999 Other Financing Contra - Local Detail Other financing contra objects reverse or reclassify transfers and other financing activity without losing original financing-detail coding. Accounting: Use for transfer reversals, financing reallocations, or correction entries tied back to original other financing lines. Reporting: Report as negative other financing sources and uses where included in reporting. Examples: Reverse transfer posted to wrong fund; reclass interfund financing entry; unwind duplicate financing journal. Exclusions: Do not use for operating revenue or expense corrections.</w:t>
      </w:r>
    </w:p>
    <w:p>
      <w:pPr>
        <w:pStyle w:val="Heading2"/>
      </w:pPr>
      <w:r>
        <w:t xml:space="preserve">90 - Control/Non-Posting</w:t>
      </w:r>
    </w:p>
    <w:p>
      <w:pPr>
        <w:pStyle w:val="Heading3"/>
      </w:pPr>
      <w:r>
        <w:t xml:space="preserve">00 - 00</w:t>
      </w:r>
    </w:p>
    <w:p>
      <w:r>
        <w:t xml:space="preserve">9000 Non-Posting / Control Non-posting/control code reserved for system metadata and staging. Not a valid posting code. GASB: Not applicable (non-financial control code). Accounting: Use only for ETL/staging flags or placeholder rows; never for posted transactions. Reporting: Posting blocked by validation. Examples: ETL placeholder; file load metadata record. Exclusions: Any real financial transaction.</w:t>
      </w:r>
    </w:p>
    <w:p>
      <w:r>
        <w:t xml:space="preserve">9001-9999 Control / Local System Codes Reserved control/system code block. Not valid for financial posting. GASB: Not applicable. Accounting: Use only for system-defined codes (balancing, interface control) if needed; keep out of reporting datasets. Reporting: Posting blocked by validation. Examples: System balancing codes; interface error buckets (non-posting). Exclusions: All financial activity.</w:t>
      </w:r>
    </w:p>
    <w:p>
      <w:pPr>
        <w:pStyle w:val="Heading1"/>
      </w:pPr>
      <w:r>
        <w:t xml:space="preserve">Functions</w:t>
      </w:r>
    </w:p>
    <w:p>
      <w:pPr>
        <w:pStyle w:val="Heading2"/>
      </w:pPr>
      <w:r>
        <w:t xml:space="preserve">Group 00</w:t>
      </w:r>
    </w:p>
    <w:p>
      <w:r>
        <w:t xml:space="preserve">0000 All Functions / Unspecified (Silent Default) 0000 is the silent/default function code. Use when the entity does not track function separately, or when function is derivable from department mapping (DEPT_FUNC_XREF). GASB: Function is a reporting dimension rather than a statement element. When not used, functional reporting may be summarized or derived from other classifications. Accounting: If the city adopts function reporting, replace 0000 with the appropriate 4-digit function per this schedule, or maintain DEPT-to-FUNC mappings. Reporting: Supports FTR functional reporting without forcing small agencies to carry the dimension. Examples: Small city with single function for admin overhead; staging transactions prior to allocation. Exclusions: Do not use 0000 if multiple functions are actively tracked and required for FTR 1:1 mapping.</w:t>
      </w:r>
    </w:p>
    <w:p>
      <w:pPr>
        <w:pStyle w:val="Heading2"/>
      </w:pPr>
      <w:r>
        <w:t xml:space="preserve">Group 10</w:t>
      </w:r>
    </w:p>
    <w:p>
      <w:r>
        <w:t xml:space="preserve">1000 General Government General Government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Government. Exclusions: Do not use function codes to represent fund or department; those are separate dimensions.</w:t>
      </w:r>
    </w:p>
    <w:p>
      <w:pPr>
        <w:pStyle w:val="Heading2"/>
      </w:pPr>
      <w:r>
        <w:t xml:space="preserve">Group 11</w:t>
      </w:r>
    </w:p>
    <w:p>
      <w:r>
        <w:t xml:space="preserve">1100 Legislative Legislative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Legislative. Exclusions: Do not use function codes to represent fund or department; those are separate dimensions.</w:t>
      </w:r>
    </w:p>
    <w:p>
      <w:pPr>
        <w:pStyle w:val="Heading2"/>
      </w:pPr>
      <w:r>
        <w:t xml:space="preserve">Group 12</w:t>
      </w:r>
    </w:p>
    <w:p>
      <w:r>
        <w:t xml:space="preserve">1200 Executive / City Manager Executive / City Manager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Executive / City Manager. Exclusions: Do not use function codes to represent fund or department; those are separate dimensions.</w:t>
      </w:r>
    </w:p>
    <w:p>
      <w:pPr>
        <w:pStyle w:val="Heading2"/>
      </w:pPr>
      <w:r>
        <w:t xml:space="preserve">Group 13</w:t>
      </w:r>
    </w:p>
    <w:p>
      <w:r>
        <w:t xml:space="preserve">1300 Clerk / Elections Clerk / Elections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Clerk / Elections. Exclusions: Do not use function codes to represent fund or department; those are separate dimensions.</w:t>
      </w:r>
    </w:p>
    <w:p>
      <w:pPr>
        <w:pStyle w:val="Heading2"/>
      </w:pPr>
      <w:r>
        <w:t xml:space="preserve">Group 14</w:t>
      </w:r>
    </w:p>
    <w:p>
      <w:r>
        <w:t xml:space="preserve">1400 Legal Legal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Legal. Exclusions: Do not use function codes to represent fund or department; those are separate dimensions.</w:t>
      </w:r>
    </w:p>
    <w:p>
      <w:pPr>
        <w:pStyle w:val="Heading2"/>
      </w:pPr>
      <w:r>
        <w:t xml:space="preserve">Group 15</w:t>
      </w:r>
    </w:p>
    <w:p>
      <w:r>
        <w:t xml:space="preserve">1500 Finance Finance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Finance. Exclusions: Do not use function codes to represent fund or department; those are separate dimensions.</w:t>
      </w:r>
    </w:p>
    <w:p>
      <w:pPr>
        <w:pStyle w:val="Heading2"/>
      </w:pPr>
      <w:r>
        <w:t xml:space="preserve">Group 16</w:t>
      </w:r>
    </w:p>
    <w:p>
      <w:r>
        <w:t xml:space="preserve">1600 Human Resources Human Resources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Human Resources. Exclusions: Do not use function codes to represent fund or department; those are separate dimensions.</w:t>
      </w:r>
    </w:p>
    <w:p>
      <w:pPr>
        <w:pStyle w:val="Heading2"/>
      </w:pPr>
      <w:r>
        <w:t xml:space="preserve">Group 17</w:t>
      </w:r>
    </w:p>
    <w:p>
      <w:r>
        <w:t xml:space="preserve">1700 Information Technology Information Technology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Information Technology. Exclusions: Do not use function codes to represent fund or department; those are separate dimensions.</w:t>
      </w:r>
    </w:p>
    <w:p>
      <w:pPr>
        <w:pStyle w:val="Heading2"/>
      </w:pPr>
      <w:r>
        <w:t xml:space="preserve">Group 18</w:t>
      </w:r>
    </w:p>
    <w:p>
      <w:r>
        <w:t xml:space="preserve">1800 General Admin — Other General Admin — Other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Admin — Other. Exclusions: Do not use function codes to represent fund or department; those are separate dimensions.</w:t>
      </w:r>
    </w:p>
    <w:p>
      <w:pPr>
        <w:pStyle w:val="Heading2"/>
      </w:pPr>
      <w:r>
        <w:t xml:space="preserve">Group 19</w:t>
      </w:r>
    </w:p>
    <w:p>
      <w:r>
        <w:t xml:space="preserve">1900 General Government — Local Detail General Government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Government — Local Detail. Exclusions: Do not use function codes to represent fund or department; those are separate dimensions.</w:t>
      </w:r>
    </w:p>
    <w:p>
      <w:pPr>
        <w:pStyle w:val="Heading2"/>
      </w:pPr>
      <w:r>
        <w:t xml:space="preserve">Group 20</w:t>
      </w:r>
    </w:p>
    <w:p>
      <w:r>
        <w:t xml:space="preserve">2000 Public Safety Public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Safety. Exclusions: Do not use function codes to represent fund or department; those are separate dimensions.</w:t>
      </w:r>
    </w:p>
    <w:p>
      <w:pPr>
        <w:pStyle w:val="Heading2"/>
      </w:pPr>
      <w:r>
        <w:t xml:space="preserve">Group 21</w:t>
      </w:r>
    </w:p>
    <w:p>
      <w:r>
        <w:t xml:space="preserve">2100 Police Police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Police. Exclusions: Do not use function codes to represent fund or department; those are separate dimensions.</w:t>
      </w:r>
    </w:p>
    <w:p>
      <w:pPr>
        <w:pStyle w:val="Heading2"/>
      </w:pPr>
      <w:r>
        <w:t xml:space="preserve">Group 22</w:t>
      </w:r>
    </w:p>
    <w:p>
      <w:r>
        <w:t xml:space="preserve">2200 Fire Fire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Fire. Exclusions: Do not use function codes to represent fund or department; those are separate dimensions.</w:t>
      </w:r>
    </w:p>
    <w:p>
      <w:pPr>
        <w:pStyle w:val="Heading2"/>
      </w:pPr>
      <w:r>
        <w:t xml:space="preserve">Group 23</w:t>
      </w:r>
    </w:p>
    <w:p>
      <w:r>
        <w:t xml:space="preserve">2300 Emergency Medical Services Emergency Medical Services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Emergency Medical Services. Exclusions: Do not use function codes to represent fund or department; those are separate dimensions.</w:t>
      </w:r>
    </w:p>
    <w:p>
      <w:pPr>
        <w:pStyle w:val="Heading2"/>
      </w:pPr>
      <w:r>
        <w:t xml:space="preserve">Group 24</w:t>
      </w:r>
    </w:p>
    <w:p>
      <w:r>
        <w:t xml:space="preserve">2400 Emergency Management / Disaster Prep Emergency Management / Disaster Prep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Emergency Management / Disaster Prep. Exclusions: Do not use function codes to represent fund or department; those are separate dimensions.</w:t>
      </w:r>
    </w:p>
    <w:p>
      <w:pPr>
        <w:pStyle w:val="Heading2"/>
      </w:pPr>
      <w:r>
        <w:t xml:space="preserve">Group 25</w:t>
      </w:r>
    </w:p>
    <w:p>
      <w:r>
        <w:t xml:space="preserve">2500 Animal Regulation Animal Regulation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Animal Regulation. Exclusions: Do not use function codes to represent fund or department; those are separate dimensions.</w:t>
      </w:r>
    </w:p>
    <w:p>
      <w:pPr>
        <w:pStyle w:val="Heading2"/>
      </w:pPr>
      <w:r>
        <w:t xml:space="preserve">Group 26</w:t>
      </w:r>
    </w:p>
    <w:p>
      <w:r>
        <w:t xml:space="preserve">2600 Code Enforcement Code Enforcement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Code Enforcement. Exclusions: Do not use function codes to represent fund or department; those are separate dimensions.</w:t>
      </w:r>
    </w:p>
    <w:p>
      <w:pPr>
        <w:pStyle w:val="Heading2"/>
      </w:pPr>
      <w:r>
        <w:t xml:space="preserve">Group 29</w:t>
      </w:r>
    </w:p>
    <w:p>
      <w:r>
        <w:t xml:space="preserve">2900 Public Safety — Local Detail Public Safety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Safety — Local Detail. Exclusions: Do not use function codes to represent fund or department; those are separate dimensions.</w:t>
      </w:r>
    </w:p>
    <w:p>
      <w:pPr>
        <w:pStyle w:val="Heading2"/>
      </w:pPr>
      <w:r>
        <w:t xml:space="preserve">Group 30</w:t>
      </w:r>
    </w:p>
    <w:p>
      <w:r>
        <w:t xml:space="preserve">3000 Transportation Transportation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Transportation. Exclusions: Do not use function codes to represent fund or department; those are separate dimensions.</w:t>
      </w:r>
    </w:p>
    <w:p>
      <w:pPr>
        <w:pStyle w:val="Heading2"/>
      </w:pPr>
      <w:r>
        <w:t xml:space="preserve">Group 31</w:t>
      </w:r>
    </w:p>
    <w:p>
      <w:r>
        <w:t xml:space="preserve">3100 Streets Streets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Streets. Exclusions: Do not use function codes to represent fund or department; those are separate dimensions.</w:t>
      </w:r>
    </w:p>
    <w:p>
      <w:pPr>
        <w:pStyle w:val="Heading2"/>
      </w:pPr>
      <w:r>
        <w:t xml:space="preserve">Group 32</w:t>
      </w:r>
    </w:p>
    <w:p>
      <w:r>
        <w:t xml:space="preserve">3200 Street Lighting Street Lighting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Street Lighting. Exclusions: Do not use function codes to represent fund or department; those are separate dimensions.</w:t>
      </w:r>
    </w:p>
    <w:p>
      <w:pPr>
        <w:pStyle w:val="Heading2"/>
      </w:pPr>
      <w:r>
        <w:t xml:space="preserve">Group 33</w:t>
      </w:r>
    </w:p>
    <w:p>
      <w:r>
        <w:t xml:space="preserve">3300 Storm Drains / Stormwater Storm Drains / Stormwater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Storm Drains / Stormwater. Exclusions: Do not use function codes to represent fund or department; those are separate dimensions.</w:t>
      </w:r>
    </w:p>
    <w:p>
      <w:pPr>
        <w:pStyle w:val="Heading2"/>
      </w:pPr>
      <w:r>
        <w:t xml:space="preserve">Group 34</w:t>
      </w:r>
    </w:p>
    <w:p>
      <w:r>
        <w:t xml:space="preserve">3400 Transit Transit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Transit. Exclusions: Do not use function codes to represent fund or department; those are separate dimensions.</w:t>
      </w:r>
    </w:p>
    <w:p>
      <w:pPr>
        <w:pStyle w:val="Heading2"/>
      </w:pPr>
      <w:r>
        <w:t xml:space="preserve">Group 35</w:t>
      </w:r>
    </w:p>
    <w:p>
      <w:r>
        <w:t xml:space="preserve">3500 Parking Parking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Parking. Exclusions: Do not use function codes to represent fund or department; those are separate dimensions.</w:t>
      </w:r>
    </w:p>
    <w:p>
      <w:pPr>
        <w:pStyle w:val="Heading2"/>
      </w:pPr>
      <w:r>
        <w:t xml:space="preserve">Group 39</w:t>
      </w:r>
    </w:p>
    <w:p>
      <w:r>
        <w:t xml:space="preserve">3900 Transportation — Local Detail Transportation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Transportation — Local Detail. Exclusions: Do not use function codes to represent fund or department; those are separate dimensions.</w:t>
      </w:r>
    </w:p>
    <w:p>
      <w:pPr>
        <w:pStyle w:val="Heading2"/>
      </w:pPr>
      <w:r>
        <w:t xml:space="preserve">Group 40</w:t>
      </w:r>
    </w:p>
    <w:p>
      <w:r>
        <w:t xml:space="preserve">4000 Community Development Community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Development. Exclusions: Do not use function codes to represent fund or department; those are separate dimensions.</w:t>
      </w:r>
    </w:p>
    <w:p>
      <w:pPr>
        <w:pStyle w:val="Heading2"/>
      </w:pPr>
      <w:r>
        <w:t xml:space="preserve">Group 41</w:t>
      </w:r>
    </w:p>
    <w:p>
      <w:r>
        <w:t xml:space="preserve">4100 Planning Planning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Planning. Exclusions: Do not use function codes to represent fund or department; those are separate dimensions.</w:t>
      </w:r>
    </w:p>
    <w:p>
      <w:pPr>
        <w:pStyle w:val="Heading2"/>
      </w:pPr>
      <w:r>
        <w:t xml:space="preserve">Group 42</w:t>
      </w:r>
    </w:p>
    <w:p>
      <w:r>
        <w:t xml:space="preserve">4200 Building &amp; Safety Building &amp;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Building &amp; Safety. Exclusions: Do not use function codes to represent fund or department; those are separate dimensions.</w:t>
      </w:r>
    </w:p>
    <w:p>
      <w:pPr>
        <w:pStyle w:val="Heading2"/>
      </w:pPr>
      <w:r>
        <w:t xml:space="preserve">Group 43</w:t>
      </w:r>
    </w:p>
    <w:p>
      <w:r>
        <w:t xml:space="preserve">4300 Housing / Neighborhood Services Housing / Neighborhood Services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Housing / Neighborhood Services. Exclusions: Do not use function codes to represent fund or department; those are separate dimensions.</w:t>
      </w:r>
    </w:p>
    <w:p>
      <w:pPr>
        <w:pStyle w:val="Heading2"/>
      </w:pPr>
      <w:r>
        <w:t xml:space="preserve">Group 44</w:t>
      </w:r>
    </w:p>
    <w:p>
      <w:r>
        <w:t xml:space="preserve">4400 Economic Development Economic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Economic Development. Exclusions: Do not use function codes to represent fund or department; those are separate dimensions.</w:t>
      </w:r>
    </w:p>
    <w:p>
      <w:pPr>
        <w:pStyle w:val="Heading2"/>
      </w:pPr>
      <w:r>
        <w:t xml:space="preserve">Group 45</w:t>
      </w:r>
    </w:p>
    <w:p>
      <w:r>
        <w:t xml:space="preserve">4500 Redevelopment / Successor Redevelopment / Successor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Redevelopment / Successor. Exclusions: Do not use function codes to represent fund or department; those are separate dimensions.</w:t>
      </w:r>
    </w:p>
    <w:p>
      <w:pPr>
        <w:pStyle w:val="Heading2"/>
      </w:pPr>
      <w:r>
        <w:t xml:space="preserve">Group 49</w:t>
      </w:r>
    </w:p>
    <w:p>
      <w:r>
        <w:t xml:space="preserve">4900 Community Development — Local Detail Community Development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Development — Local Detail. Exclusions: Do not use function codes to represent fund or department; those are separate dimensions.</w:t>
      </w:r>
    </w:p>
    <w:p>
      <w:pPr>
        <w:pStyle w:val="Heading2"/>
      </w:pPr>
      <w:r>
        <w:t xml:space="preserve">Group 50</w:t>
      </w:r>
    </w:p>
    <w:p>
      <w:r>
        <w:t xml:space="preserve">5000 Culture &amp; Leisure Culture &amp; Leisure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Culture &amp; Leisure. Exclusions: Do not use function codes to represent fund or department; those are separate dimensions.</w:t>
      </w:r>
    </w:p>
    <w:p>
      <w:pPr>
        <w:pStyle w:val="Heading2"/>
      </w:pPr>
      <w:r>
        <w:t xml:space="preserve">Group 51</w:t>
      </w:r>
    </w:p>
    <w:p>
      <w:r>
        <w:t xml:space="preserve">5100 Parks Parks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Parks. Exclusions: Do not use function codes to represent fund or department; those are separate dimensions.</w:t>
      </w:r>
    </w:p>
    <w:p>
      <w:pPr>
        <w:pStyle w:val="Heading2"/>
      </w:pPr>
      <w:r>
        <w:t xml:space="preserve">Group 52</w:t>
      </w:r>
    </w:p>
    <w:p>
      <w:r>
        <w:t xml:space="preserve">5200 Recreation Recreation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Recreation. Exclusions: Do not use function codes to represent fund or department; those are separate dimensions.</w:t>
      </w:r>
    </w:p>
    <w:p>
      <w:pPr>
        <w:pStyle w:val="Heading2"/>
      </w:pPr>
      <w:r>
        <w:t xml:space="preserve">Group 53</w:t>
      </w:r>
    </w:p>
    <w:p>
      <w:r>
        <w:t xml:space="preserve">5300 Libraries Libraries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Libraries. Exclusions: Do not use function codes to represent fund or department; those are separate dimensions.</w:t>
      </w:r>
    </w:p>
    <w:p>
      <w:pPr>
        <w:pStyle w:val="Heading2"/>
      </w:pPr>
      <w:r>
        <w:t xml:space="preserve">Group 54</w:t>
      </w:r>
    </w:p>
    <w:p>
      <w:r>
        <w:t xml:space="preserve">5400 Community Centers / Auditoriums Community Centers / Auditoriums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Centers / Auditoriums. Exclusions: Do not use function codes to represent fund or department; those are separate dimensions.</w:t>
      </w:r>
    </w:p>
    <w:p>
      <w:pPr>
        <w:pStyle w:val="Heading2"/>
      </w:pPr>
      <w:r>
        <w:t xml:space="preserve">Group 55</w:t>
      </w:r>
    </w:p>
    <w:p>
      <w:r>
        <w:t xml:space="preserve">5500 Museums Museums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Museums. Exclusions: Do not use function codes to represent fund or department; those are separate dimensions.</w:t>
      </w:r>
    </w:p>
    <w:p>
      <w:pPr>
        <w:pStyle w:val="Heading2"/>
      </w:pPr>
      <w:r>
        <w:t xml:space="preserve">Group 56</w:t>
      </w:r>
    </w:p>
    <w:p>
      <w:r>
        <w:t xml:space="preserve">5600 Golf Courses Golf Courses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Golf Courses. Exclusions: Do not use function codes to represent fund or department; those are separate dimensions.</w:t>
      </w:r>
    </w:p>
    <w:p>
      <w:pPr>
        <w:pStyle w:val="Heading2"/>
      </w:pPr>
      <w:r>
        <w:t xml:space="preserve">Group 57</w:t>
      </w:r>
    </w:p>
    <w:p>
      <w:r>
        <w:t xml:space="preserve">5700 Marinas / Wharfs Marinas / Wharfs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Marinas / Wharfs. Exclusions: Do not use function codes to represent fund or department; those are separate dimensions.</w:t>
      </w:r>
    </w:p>
    <w:p>
      <w:pPr>
        <w:pStyle w:val="Heading2"/>
      </w:pPr>
      <w:r>
        <w:t xml:space="preserve">Group 58</w:t>
      </w:r>
    </w:p>
    <w:p>
      <w:r>
        <w:t xml:space="preserve">5800 Cemeteries Cemeteries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Cemeteries. Exclusions: Do not use function codes to represent fund or department; those are separate dimensions.</w:t>
      </w:r>
    </w:p>
    <w:p>
      <w:pPr>
        <w:pStyle w:val="Heading2"/>
      </w:pPr>
      <w:r>
        <w:t xml:space="preserve">Group 59</w:t>
      </w:r>
    </w:p>
    <w:p>
      <w:r>
        <w:t xml:space="preserve">5900 Culture &amp; Leisure — Local Detail Culture &amp; Leisure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Culture &amp; Leisure — Local Detail. Exclusions: Do not use function codes to represent fund or department; those are separate dimensions.</w:t>
      </w:r>
    </w:p>
    <w:p>
      <w:pPr>
        <w:pStyle w:val="Heading2"/>
      </w:pPr>
      <w:r>
        <w:t xml:space="preserve">Group 60</w:t>
      </w:r>
    </w:p>
    <w:p>
      <w:r>
        <w:t xml:space="preserve">6000 Health Health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Health. Exclusions: Do not use function codes to represent fund or department; those are separate dimensions.</w:t>
      </w:r>
    </w:p>
    <w:p>
      <w:pPr>
        <w:pStyle w:val="Heading2"/>
      </w:pPr>
      <w:r>
        <w:t xml:space="preserve">Group 61</w:t>
      </w:r>
    </w:p>
    <w:p>
      <w:r>
        <w:t xml:space="preserve">6100 Physical &amp; Mental Health Physical &amp; Mental Health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Physical &amp; Mental Health. Exclusions: Do not use function codes to represent fund or department; those are separate dimensions.</w:t>
      </w:r>
    </w:p>
    <w:p>
      <w:pPr>
        <w:pStyle w:val="Heading2"/>
      </w:pPr>
      <w:r>
        <w:t xml:space="preserve">Group 62</w:t>
      </w:r>
    </w:p>
    <w:p>
      <w:r>
        <w:t xml:space="preserve">6200 Hospitals &amp; Sanitariums Hospitals &amp; Sanitariums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Hospitals &amp; Sanitariums. Exclusions: Do not use function codes to represent fund or department; those are separate dimensions.</w:t>
      </w:r>
    </w:p>
    <w:p>
      <w:pPr>
        <w:pStyle w:val="Heading2"/>
      </w:pPr>
      <w:r>
        <w:t xml:space="preserve">Group 69</w:t>
      </w:r>
    </w:p>
    <w:p>
      <w:r>
        <w:t xml:space="preserve">6900 Health — Local Detail Health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Health — Local Detail. Exclusions: Do not use function codes to represent fund or department; those are separate dimensions.</w:t>
      </w:r>
    </w:p>
    <w:p>
      <w:pPr>
        <w:pStyle w:val="Heading2"/>
      </w:pPr>
      <w:r>
        <w:t xml:space="preserve">Group 70</w:t>
      </w:r>
    </w:p>
    <w:p>
      <w:r>
        <w:t xml:space="preserve">7000 Public Utilities Public Utilities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Utilities. Exclusions: Do not use function codes to represent fund or department; those are separate dimensions.</w:t>
      </w:r>
    </w:p>
    <w:p>
      <w:pPr>
        <w:pStyle w:val="Heading2"/>
      </w:pPr>
      <w:r>
        <w:t xml:space="preserve">Group 71</w:t>
      </w:r>
    </w:p>
    <w:p>
      <w:r>
        <w:t xml:space="preserve">7100 Water Water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Water. Exclusions: Do not use function codes to represent fund or department; those are separate dimensions.</w:t>
      </w:r>
    </w:p>
    <w:p>
      <w:pPr>
        <w:pStyle w:val="Heading2"/>
      </w:pPr>
      <w:r>
        <w:t xml:space="preserve">Group 72</w:t>
      </w:r>
    </w:p>
    <w:p>
      <w:r>
        <w:t xml:space="preserve">7200 Sewers Sewers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Sewers. Exclusions: Do not use function codes to represent fund or department; those are separate dimensions.</w:t>
      </w:r>
    </w:p>
    <w:p>
      <w:pPr>
        <w:pStyle w:val="Heading2"/>
      </w:pPr>
      <w:r>
        <w:t xml:space="preserve">Group 73</w:t>
      </w:r>
    </w:p>
    <w:p>
      <w:r>
        <w:t xml:space="preserve">7300 Solid Waste Solid Waste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Solid Waste. Exclusions: Do not use function codes to represent fund or department; those are separate dimensions.</w:t>
      </w:r>
    </w:p>
    <w:p>
      <w:pPr>
        <w:pStyle w:val="Heading2"/>
      </w:pPr>
      <w:r>
        <w:t xml:space="preserve">Group 74</w:t>
      </w:r>
    </w:p>
    <w:p>
      <w:r>
        <w:t xml:space="preserve">7400 Electric Electric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Electric. Exclusions: Do not use function codes to represent fund or department; those are separate dimensions.</w:t>
      </w:r>
    </w:p>
    <w:p>
      <w:pPr>
        <w:pStyle w:val="Heading2"/>
      </w:pPr>
      <w:r>
        <w:t xml:space="preserve">Group 75</w:t>
      </w:r>
    </w:p>
    <w:p>
      <w:r>
        <w:t xml:space="preserve">7500 Gas Gas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Gas. Exclusions: Do not use function codes to represent fund or department; those are separate dimensions.</w:t>
      </w:r>
    </w:p>
    <w:p>
      <w:pPr>
        <w:pStyle w:val="Heading2"/>
      </w:pPr>
      <w:r>
        <w:t xml:space="preserve">Group 79</w:t>
      </w:r>
    </w:p>
    <w:p>
      <w:r>
        <w:t xml:space="preserve">7900 Utilities — Local Detail Utilities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Utilities — Local Detail. Exclusions: Do not use function codes to represent fund or department; those are separate dimensions.</w:t>
      </w:r>
    </w:p>
    <w:p>
      <w:pPr>
        <w:pStyle w:val="Heading2"/>
      </w:pPr>
      <w:r>
        <w:t xml:space="preserve">Group 80</w:t>
      </w:r>
    </w:p>
    <w:p>
      <w:r>
        <w:t xml:space="preserve">8000 Capital Outlay (by Function) Capital Outlay (by Function)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Outlay (by Function). Exclusions: Do not use function codes to represent fund or department; those are separate dimensions.</w:t>
      </w:r>
    </w:p>
    <w:p>
      <w:pPr>
        <w:pStyle w:val="Heading2"/>
      </w:pPr>
      <w:r>
        <w:t xml:space="preserve">Group 81</w:t>
      </w:r>
    </w:p>
    <w:p>
      <w:r>
        <w:t xml:space="preserve">8100 Capital — General Government Capital — General Government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General Government. Exclusions: Do not use function codes to represent fund or department; those are separate dimensions.</w:t>
      </w:r>
    </w:p>
    <w:p>
      <w:pPr>
        <w:pStyle w:val="Heading2"/>
      </w:pPr>
      <w:r>
        <w:t xml:space="preserve">Group 82</w:t>
      </w:r>
    </w:p>
    <w:p>
      <w:r>
        <w:t xml:space="preserve">8200 Capital — Public Safety Capital — Public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Public Safety. Exclusions: Do not use function codes to represent fund or department; those are separate dimensions.</w:t>
      </w:r>
    </w:p>
    <w:p>
      <w:pPr>
        <w:pStyle w:val="Heading2"/>
      </w:pPr>
      <w:r>
        <w:t xml:space="preserve">Group 83</w:t>
      </w:r>
    </w:p>
    <w:p>
      <w:r>
        <w:t xml:space="preserve">8300 Capital — Transportation Capital — Transportation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Transportation. Exclusions: Do not use function codes to represent fund or department; those are separate dimensions.</w:t>
      </w:r>
    </w:p>
    <w:p>
      <w:pPr>
        <w:pStyle w:val="Heading2"/>
      </w:pPr>
      <w:r>
        <w:t xml:space="preserve">Group 84</w:t>
      </w:r>
    </w:p>
    <w:p>
      <w:r>
        <w:t xml:space="preserve">8400 Capital — Community Development Capital — Community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Community Development. Exclusions: Do not use function codes to represent fund or department; those are separate dimensions.</w:t>
      </w:r>
    </w:p>
    <w:p>
      <w:pPr>
        <w:pStyle w:val="Heading2"/>
      </w:pPr>
      <w:r>
        <w:t xml:space="preserve">Group 85</w:t>
      </w:r>
    </w:p>
    <w:p>
      <w:r>
        <w:t xml:space="preserve">8500 Capital — Culture &amp; Leisure Capital — Culture &amp; Leisure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Culture &amp; Leisure. Exclusions: Do not use function codes to represent fund or department; those are separate dimensions.</w:t>
      </w:r>
    </w:p>
    <w:p>
      <w:pPr>
        <w:pStyle w:val="Heading2"/>
      </w:pPr>
      <w:r>
        <w:t xml:space="preserve">Group 86</w:t>
      </w:r>
    </w:p>
    <w:p>
      <w:r>
        <w:t xml:space="preserve">8600 Capital — Public Utilities Capital — Public Utilities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Public Utilities. Exclusions: Do not use function codes to represent fund or department; those are separate dimensions.</w:t>
      </w:r>
    </w:p>
    <w:p>
      <w:pPr>
        <w:pStyle w:val="Heading2"/>
      </w:pPr>
      <w:r>
        <w:t xml:space="preserve">Group 89</w:t>
      </w:r>
    </w:p>
    <w:p>
      <w:r>
        <w:t xml:space="preserve">8900 Capital — Local Detail Capital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Local Detail. Exclusions: Do not use function codes to represent fund or department; those are separate dimensions.</w:t>
      </w:r>
    </w:p>
    <w:p>
      <w:pPr>
        <w:pStyle w:val="Heading2"/>
      </w:pPr>
      <w:r>
        <w:t xml:space="preserve">Group 90</w:t>
      </w:r>
    </w:p>
    <w:p>
      <w:r>
        <w:t xml:space="preserve">9000 Nonfunctional / Debt Service / Other Nonfunctional / Debt Service / Other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Nonfunctional / Debt Service / Other. Exclusions: Do not use function codes to represent fund or department; those are separate dimensions.</w:t>
      </w:r>
    </w:p>
    <w:p>
      <w:pPr>
        <w:pStyle w:val="Heading2"/>
      </w:pPr>
      <w:r>
        <w:t xml:space="preserve">Group 91</w:t>
      </w:r>
    </w:p>
    <w:p>
      <w:r>
        <w:t xml:space="preserve">9100 Operating Expenditures (Nonfunctional) Operating Expenditures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Operating Expenditures (Nonfunctional). Exclusions: Do not use function codes to represent fund or department; those are separate dimensions.</w:t>
      </w:r>
    </w:p>
    <w:p>
      <w:pPr>
        <w:pStyle w:val="Heading2"/>
      </w:pPr>
      <w:r>
        <w:t xml:space="preserve">Group 92</w:t>
      </w:r>
    </w:p>
    <w:p>
      <w:r>
        <w:t xml:space="preserve">9200 Other Expenditures (Nonfunctional) Other Expenditures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Other Expenditures (Nonfunctional). Exclusions: Do not use function codes to represent fund or department; those are separate dimensions.</w:t>
      </w:r>
    </w:p>
    <w:p>
      <w:pPr>
        <w:pStyle w:val="Heading2"/>
      </w:pPr>
      <w:r>
        <w:t xml:space="preserve">Group 93</w:t>
      </w:r>
    </w:p>
    <w:p>
      <w:r>
        <w:t xml:space="preserve">9300 Debt Service (Nonfunctional) Debt Service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Debt Service (Nonfunctional). Exclusions: Do not use function codes to represent fund or department; those are separate dimensions.</w:t>
      </w:r>
    </w:p>
    <w:p>
      <w:pPr>
        <w:pStyle w:val="Heading2"/>
      </w:pPr>
      <w:r>
        <w:t xml:space="preserve">Group 99</w:t>
      </w:r>
    </w:p>
    <w:p>
      <w:r>
        <w:t xml:space="preserve">9900 Other / Local Detail Other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Other / Local Detail. Exclusions: Do not use function codes to represent fund or department; those are separate dimensions.</w:t>
      </w:r>
    </w:p>
    <w:p>
      <w:pPr>
        <w:pStyle w:val="Heading1"/>
      </w:pPr>
      <w:r>
        <w:t xml:space="preserve">Departments</w:t>
      </w:r>
    </w:p>
    <w:p>
      <w:r>
        <w:t xml:space="preserve">00 Nondepartmental / Default 00 is the silent/default department code. Use when the entity does not track departments, or when department is not available at the transaction level. GASB: Department is an internal organizational reporting dimension; it supports cost tracking and allocation but is not a required statement element. Accounting: If department reporting is enabled, replace 00 with the appropriate department and maintain a department schedule consistent with this structure. Reporting: Keeps the dimension optional for smaller agencies while remaining compatible with larger cities. Examples: Small city posting without departmental detail; legacy data loads. Exclusions: Do not use department to represent funds or functions; use dedicated dimensions.</w:t>
      </w:r>
    </w:p>
    <w:p>
      <w:r>
        <w:t xml:space="preserve">10 City Council / Mayor City Council / Mayor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Council / Mayor. Exclusions: Do not use department to represent funds or functions; use dedicated dimensions.</w:t>
      </w:r>
    </w:p>
    <w:p>
      <w:r>
        <w:t xml:space="preserve">11 City Manager / Executive City Manager / Executive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Manager / Executive. Exclusions: Do not use department to represent funds or functions; use dedicated dimensions.</w:t>
      </w:r>
    </w:p>
    <w:p>
      <w:r>
        <w:t xml:space="preserve">12 City Clerk / Elections City Clerk / Elections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Clerk / Elections. Exclusions: Do not use department to represent funds or functions; use dedicated dimensions.</w:t>
      </w:r>
    </w:p>
    <w:p>
      <w:r>
        <w:t xml:space="preserve">13 City Attorney / Legal City Attorney / Legal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Attorney / Legal. Exclusions: Do not use department to represent funds or functions; use dedicated dimensions.</w:t>
      </w:r>
    </w:p>
    <w:p>
      <w:r>
        <w:t xml:space="preserve">14 Citywide Boards &amp; Commissions Citywide Boards &amp; Commissions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Citywide Boards &amp; Commissions. Exclusions: Do not use department to represent funds or functions; use dedicated dimensions.</w:t>
      </w:r>
    </w:p>
    <w:p>
      <w:r>
        <w:t xml:space="preserve">19 Executive — Other / Reserved Executive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Executive — Other / Reserved. Exclusions: Do not use department to represent funds or functions; use dedicated dimensions.</w:t>
      </w:r>
    </w:p>
    <w:p>
      <w:r>
        <w:t xml:space="preserve">20 Finance / Accounting Finance / Accounting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Finance / Accounting. Exclusions: Do not use department to represent funds or functions; use dedicated dimensions.</w:t>
      </w:r>
    </w:p>
    <w:p>
      <w:r>
        <w:t xml:space="preserve">21 Budget / Treasury Budget / Treasury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Budget / Treasury. Exclusions: Do not use department to represent funds or functions; use dedicated dimensions.</w:t>
      </w:r>
    </w:p>
    <w:p>
      <w:r>
        <w:t xml:space="preserve">22 Human Resources Human Resources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Human Resources. Exclusions: Do not use department to represent funds or functions; use dedicated dimensions.</w:t>
      </w:r>
    </w:p>
    <w:p>
      <w:r>
        <w:t xml:space="preserve">23 Information Technology Information Technology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Information Technology. Exclusions: Do not use department to represent funds or functions; use dedicated dimensions.</w:t>
      </w:r>
    </w:p>
    <w:p>
      <w:r>
        <w:t xml:space="preserve">24 Purchasing / Contracting Purchasing / Contracting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Purchasing / Contracting. Exclusions: Do not use department to represent funds or functions; use dedicated dimensions.</w:t>
      </w:r>
    </w:p>
    <w:p>
      <w:r>
        <w:t xml:space="preserve">25 Risk Management Risk Management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Risk Management. Exclusions: Do not use department to represent funds or functions; use dedicated dimensions.</w:t>
      </w:r>
    </w:p>
    <w:p>
      <w:r>
        <w:t xml:space="preserve">26 Citywide Administrative Services Citywide Administrative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Citywide Administrative Services. Exclusions: Do not use department to represent funds or functions; use dedicated dimensions.</w:t>
      </w:r>
    </w:p>
    <w:p>
      <w:r>
        <w:t xml:space="preserve">29 Admin Svcs — Other / Reserved Admin Svcs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Admin Svcs — Other / Reserved. Exclusions: Do not use department to represent funds or functions; use dedicated dimensions.</w:t>
      </w:r>
    </w:p>
    <w:p>
      <w:r>
        <w:t xml:space="preserve">30 Police Police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Police. Exclusions: Do not use department to represent funds or functions; use dedicated dimensions.</w:t>
      </w:r>
    </w:p>
    <w:p>
      <w:r>
        <w:t xml:space="preserve">31 Dispatch / Communications Dispatch / Communications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Dispatch / Communications. Exclusions: Do not use department to represent funds or functions; use dedicated dimensions.</w:t>
      </w:r>
    </w:p>
    <w:p>
      <w:r>
        <w:t xml:space="preserve">32 Animal Services Animal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Animal Services. Exclusions: Do not use department to represent funds or functions; use dedicated dimensions.</w:t>
      </w:r>
    </w:p>
    <w:p>
      <w:r>
        <w:t xml:space="preserve">33 Code Enforcement Code Enforcement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Code Enforcement. Exclusions: Do not use department to represent funds or functions; use dedicated dimensions.</w:t>
      </w:r>
    </w:p>
    <w:p>
      <w:r>
        <w:t xml:space="preserve">39 Police — Other / Reserved Police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Police — Other / Reserved. Exclusions: Do not use department to represent funds or functions; use dedicated dimensions.</w:t>
      </w:r>
    </w:p>
    <w:p>
      <w:r>
        <w:t xml:space="preserve">40 Fire Fire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Fire. Exclusions: Do not use department to represent funds or functions; use dedicated dimensions.</w:t>
      </w:r>
    </w:p>
    <w:p>
      <w:r>
        <w:t xml:space="preserve">41 Emergency Medical Services Emergency Medical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Emergency Medical Services. Exclusions: Do not use department to represent funds or functions; use dedicated dimensions.</w:t>
      </w:r>
    </w:p>
    <w:p>
      <w:r>
        <w:t xml:space="preserve">42 Emergency Management / Disaster Prep Emergency Management / Disaster Prep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Emergency Management / Disaster Prep. Exclusions: Do not use department to represent funds or functions; use dedicated dimensions.</w:t>
      </w:r>
    </w:p>
    <w:p>
      <w:r>
        <w:t xml:space="preserve">49 Fire/EMS — Other / Reserved Fire/EMS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Fire/EMS — Other / Reserved. Exclusions: Do not use department to represent funds or functions; use dedicated dimensions.</w:t>
      </w:r>
    </w:p>
    <w:p>
      <w:r>
        <w:t xml:space="preserve">50 Public Works Administration Public Works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Public Works Administration. Exclusions: Do not use department to represent funds or functions; use dedicated dimensions.</w:t>
      </w:r>
    </w:p>
    <w:p>
      <w:r>
        <w:t xml:space="preserve">51 Streets Streets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Streets. Exclusions: Do not use department to represent funds or functions; use dedicated dimensions.</w:t>
      </w:r>
    </w:p>
    <w:p>
      <w:r>
        <w:t xml:space="preserve">52 Stormwater / Drainage Stormwater / Drainage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Stormwater / Drainage. Exclusions: Do not use department to represent funds or functions; use dedicated dimensions.</w:t>
      </w:r>
    </w:p>
    <w:p>
      <w:r>
        <w:t xml:space="preserve">53 Engineering Engineering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Engineering. Exclusions: Do not use department to represent funds or functions; use dedicated dimensions.</w:t>
      </w:r>
    </w:p>
    <w:p>
      <w:r>
        <w:t xml:space="preserve">54 Facilities / Buildings Facilities / Buildings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Facilities / Buildings. Exclusions: Do not use department to represent funds or functions; use dedicated dimensions.</w:t>
      </w:r>
    </w:p>
    <w:p>
      <w:r>
        <w:t xml:space="preserve">55 Fleet / Equipment Maintenance Fleet / Equipment Maintenance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Fleet / Equipment Maintenance. Exclusions: Do not use department to represent funds or functions; use dedicated dimensions.</w:t>
      </w:r>
    </w:p>
    <w:p>
      <w:r>
        <w:t xml:space="preserve">56 Street Lighting Street Lighting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Street Lighting. Exclusions: Do not use department to represent funds or functions; use dedicated dimensions.</w:t>
      </w:r>
    </w:p>
    <w:p>
      <w:r>
        <w:t xml:space="preserve">59 PW/Eng — Other / Reserved PW/Eng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PW/Eng — Other / Reserved. Exclusions: Do not use department to represent funds or functions; use dedicated dimensions.</w:t>
      </w:r>
    </w:p>
    <w:p>
      <w:r>
        <w:t xml:space="preserve">60 Parks Parks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Parks. Exclusions: Do not use department to represent funds or functions; use dedicated dimensions.</w:t>
      </w:r>
    </w:p>
    <w:p>
      <w:r>
        <w:t xml:space="preserve">61 Recreation Recreation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Recreation. Exclusions: Do not use department to represent funds or functions; use dedicated dimensions.</w:t>
      </w:r>
    </w:p>
    <w:p>
      <w:r>
        <w:t xml:space="preserve">62 Library Library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Library. Exclusions: Do not use department to represent funds or functions; use dedicated dimensions.</w:t>
      </w:r>
    </w:p>
    <w:p>
      <w:r>
        <w:t xml:space="preserve">63 Community Centers Community Centers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Community Centers. Exclusions: Do not use department to represent funds or functions; use dedicated dimensions.</w:t>
      </w:r>
    </w:p>
    <w:p>
      <w:r>
        <w:t xml:space="preserve">64 Senior / Youth Programs Senior / Youth Programs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Senior / Youth Programs. Exclusions: Do not use department to represent funds or functions; use dedicated dimensions.</w:t>
      </w:r>
    </w:p>
    <w:p>
      <w:r>
        <w:t xml:space="preserve">65 Cemetery Cemetery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Cemetery. Exclusions: Do not use department to represent funds or functions; use dedicated dimensions.</w:t>
      </w:r>
    </w:p>
    <w:p>
      <w:r>
        <w:t xml:space="preserve">69 Comm Services — Other / Reserved Comm Services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 Services — Other / Reserved. Exclusions: Do not use department to represent funds or functions; use dedicated dimensions.</w:t>
      </w:r>
    </w:p>
    <w:p>
      <w:r>
        <w:t xml:space="preserve">70 Planning Planning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Planning. Exclusions: Do not use department to represent funds or functions; use dedicated dimensions.</w:t>
      </w:r>
    </w:p>
    <w:p>
      <w:r>
        <w:t xml:space="preserve">71 Building &amp; Safety Building &amp; Safety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Building &amp; Safety. Exclusions: Do not use department to represent funds or functions; use dedicated dimensions.</w:t>
      </w:r>
    </w:p>
    <w:p>
      <w:r>
        <w:t xml:space="preserve">72 Housing / Neighborhood Services Housing / Neighborhood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Housing / Neighborhood Services. Exclusions: Do not use department to represent funds or functions; use dedicated dimensions.</w:t>
      </w:r>
    </w:p>
    <w:p>
      <w:r>
        <w:t xml:space="preserve">73 Economic Development Economic Development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Economic Development. Exclusions: Do not use department to represent funds or functions; use dedicated dimensions.</w:t>
      </w:r>
    </w:p>
    <w:p>
      <w:r>
        <w:t xml:space="preserve">74 Redevelopment / Successor Redevelopment / Successor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Redevelopment / Successor. Exclusions: Do not use department to represent funds or functions; use dedicated dimensions.</w:t>
      </w:r>
    </w:p>
    <w:p>
      <w:r>
        <w:t xml:space="preserve">79 Comm Dev — Other / Reserved Comm Dev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 Dev — Other / Reserved. Exclusions: Do not use department to represent funds or functions; use dedicated dimensions.</w:t>
      </w:r>
    </w:p>
    <w:p>
      <w:r>
        <w:t xml:space="preserve">80 Water Water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Water. Exclusions: Do not use department to represent funds or functions; use dedicated dimensions.</w:t>
      </w:r>
    </w:p>
    <w:p>
      <w:r>
        <w:t xml:space="preserve">81 Wastewater / Sewer Wastewater / Sewer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Wastewater / Sewer. Exclusions: Do not use department to represent funds or functions; use dedicated dimensions.</w:t>
      </w:r>
    </w:p>
    <w:p>
      <w:r>
        <w:t xml:space="preserve">82 Solid Waste Solid Waste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Solid Waste. Exclusions: Do not use department to represent funds or functions; use dedicated dimensions.</w:t>
      </w:r>
    </w:p>
    <w:p>
      <w:r>
        <w:t xml:space="preserve">83 Electric Utility Electric Utility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Electric Utility. Exclusions: Do not use department to represent funds or functions; use dedicated dimensions.</w:t>
      </w:r>
    </w:p>
    <w:p>
      <w:r>
        <w:t xml:space="preserve">84 Gas Utility Gas Utility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Gas Utility. Exclusions: Do not use department to represent funds or functions; use dedicated dimensions.</w:t>
      </w:r>
    </w:p>
    <w:p>
      <w:r>
        <w:t xml:space="preserve">85 Utility Billing / Customer Service Utility Billing / Customer Service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Utility Billing / Customer Service. Exclusions: Do not use department to represent funds or functions; use dedicated dimensions.</w:t>
      </w:r>
    </w:p>
    <w:p>
      <w:r>
        <w:t xml:space="preserve">86 Utility Administration Utility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Utility Administration. Exclusions: Do not use department to represent funds or functions; use dedicated dimensions.</w:t>
      </w:r>
    </w:p>
    <w:p>
      <w:r>
        <w:t xml:space="preserve">89 Utilities — Other / Reserved Utilities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Utilities — Other / Reserved. Exclusions: Do not use department to represent funds or functions; use dedicated dimensions.</w:t>
      </w:r>
    </w:p>
    <w:p>
      <w:r>
        <w:t xml:space="preserve">90 Capital Projects / CIP Admin Capital Projects / CIP Admin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Projects / CIP Admin. Exclusions: Do not use department to represent funds or functions; use dedicated dimensions.</w:t>
      </w:r>
    </w:p>
    <w:p>
      <w:r>
        <w:t xml:space="preserve">91 Capital Design / Construction Capital Design / Construction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Design / Construction. Exclusions: Do not use department to represent funds or functions; use dedicated dimensions.</w:t>
      </w:r>
    </w:p>
    <w:p>
      <w:r>
        <w:t xml:space="preserve">92 Impact Fees / Development Fees Impact Fees / Development Fees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Impact Fees / Development Fees. Exclusions: Do not use department to represent funds or functions; use dedicated dimensions.</w:t>
      </w:r>
    </w:p>
    <w:p>
      <w:r>
        <w:t xml:space="preserve">94 Capital — Other / Reserved Capital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 Other / Reserved. Exclusions: Do not use department to represent funds or functions; use dedicated dimensions.</w:t>
      </w:r>
    </w:p>
    <w:p>
      <w:r>
        <w:t xml:space="preserve">95 Debt Administration Debt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Debt Administration. Exclusions: Do not use department to represent funds or functions; use dedicated dimensions.</w:t>
      </w:r>
    </w:p>
    <w:p>
      <w:r>
        <w:t xml:space="preserve">96 Grants Administration (Citywide) Grants Administration (Citywide)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Grants Administration (Citywide). Exclusions: Do not use department to represent funds or functions; use dedicated dimensions.</w:t>
      </w:r>
    </w:p>
    <w:p>
      <w:r>
        <w:t xml:space="preserve">97 Financing / Special Programs Financing / Special Programs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Financing / Special Programs. Exclusions: Do not use department to represent funds or functions; use dedicated dimensions.</w:t>
      </w:r>
    </w:p>
    <w:p>
      <w:r>
        <w:t xml:space="preserve">98 Internal Service / Support Ops Internal Service / Support Ops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Internal Service / Support Ops. Exclusions: Do not use department to represent funds or functions; use dedicated dimensions.</w:t>
      </w:r>
    </w:p>
    <w:p>
      <w:r>
        <w:t xml:space="preserve">99 Allocations / Nondepartmental Charges / Reserved Allocations / Nondepartmental Charges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Allocations / Nondepartmental Charges / Reserved. Exclusions: Do not use department to represent funds or functions; use dedicated dimensions.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2026-07-14T04:38:40.473Z</dcterms:created>
  <dcterms:modified xsi:type="dcterms:W3CDTF">2026-07-14T04:38:40.473Z</dcterms:modified>
</cp:coreProperties>
</file>

<file path=docProps/custom.xml><?xml version="1.0" encoding="utf-8"?>
<Properties xmlns="http://schemas.openxmlformats.org/officeDocument/2006/custom-properties" xmlns:vt="http://schemas.openxmlformats.org/officeDocument/2006/docPropsVTypes"/>
</file>