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136 funds, 62 departments, 67 functions, 144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
      </w:r>
    </w:p>
    <w:p>
      <w:pPr>
        <w:pStyle w:val="Heading3"/>
      </w:pPr>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1001-1049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1050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1051-1079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1080 Cash / Asset Suspense – Unidentified Receipts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1081-1089 Asset Suspense – Local Detail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1090 Cash Allocated to Funds This object is used in centralized cash management to allocate pooled cash and investment balances from a central cash holding fund (commonly a designated clearing fund such as Fund 999) to the individual operating funds that legally own the cash. It represents fund attribution, not a separate bank account. GASB: This object is intended to support proper fund reporting without requiring each fund to directly post activity to physical bank account objects (e.g., 1000–1009), while maintaining a clear audit trail showing how pooled cash is distributed among funds. Accounting: Use this object only for allocation entries that distribute pooled cash to funds. It should be posted in tandem between the central pooled cash fund and each receiving fund. Examples: Physical investment accounts remain in Fund 999 (e.g., LAIF object 1003). Allocation remains via 1090 so each fund still reflects its ownership interest. Exclusions: Do not use as a physical bank account or A/P, A/R, or due to/from operating activity.</w:t>
      </w:r>
    </w:p>
    <w:p>
      <w:r>
        <w:t xml:space="preserve">1091-1099 Cash Allocated to Funds - Local Detail This reserved block provides optional local detail sub-objects beneath the “Cash Allocated to Funds” concept. It is intended for agencies that need to separately track cash attribution by allocation method, pool, custody arrangement, or other locally defined treasury structures while still rolling up cleanly into the CACOA standard allocation object structure. GASB: Use for additional objects intended to support proper fund reporting without requiring each fund to directly post activity to physical bank account objects (e.g., 1000–1009), while maintaining a clear audit trail showing how pooled cash is distributed among funds. Accounting: Use this object only for multiple pooled cash groups, special custody allocations, or grant cash attribution tracked separately for internal compliance dashboards. If you don’t need this detail, use only 1090. It should be posted in tandem between the central pooled cash fund and each receiving fund. Examples: Physical investment accounts remain in Fund 999 (e.g.,General Treasury Pool, Bond Trustee Pool, Grant Custody Pool or Fiscal Agent/Pass-Through Pool). Allocation remains via 1091-1099 so each fund still reflects its ownership interest. Exclusions: Do not create local detail codes that duplicate physical bank account tracking. Do not create local detail codes that duplicate physical bank account tracking.</w:t>
      </w:r>
    </w:p>
    <w:p>
      <w:r>
        <w:t xml:space="preserve">1100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1101-1119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1120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1121-1139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1141-1149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1151-1159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1161-1169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1171-1179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1180-1199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1200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1210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1220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1230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1240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1250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1260-1299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r>
        <w:t xml:space="preserve">2180 Suspense / Clearing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r>
        <w:t xml:space="preserve">2181-2189 Suspense / Clearing - Local Detail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r>
        <w:t xml:space="preserve">4980 Payroll Suspense / Clearing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r>
        <w:t xml:space="preserve">4981-4989 Payroll Suspense / Clearing - Local Detail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r>
        <w:t xml:space="preserve">5980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r>
        <w:t xml:space="preserve">5981-5989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pPr>
        <w:pStyle w:val="Heading2"/>
      </w:pPr>
      <w:r>
        <w:t xml:space="preserve">60 - Capital Outlay</w:t>
      </w:r>
    </w:p>
    <w:p>
      <w:pPr>
        <w:pStyle w:val="Heading3"/>
      </w:pPr>
      <w:r>
        <w:t xml:space="preserve">01 - Transfers</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02 - Proceeds of Debt</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03 - Sale of Capital Assets</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04 - Equipment/Vehicles</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2026-07-14T04:31:22.918Z</dcterms:created>
  <dcterms:modified xsi:type="dcterms:W3CDTF">2026-07-14T04:31:22.918Z</dcterms:modified>
</cp:coreProperties>
</file>

<file path=docProps/custom.xml><?xml version="1.0" encoding="utf-8"?>
<Properties xmlns="http://schemas.openxmlformats.org/officeDocument/2006/custom-properties" xmlns:vt="http://schemas.openxmlformats.org/officeDocument/2006/docPropsVTypes"/>
</file>