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135 funds, 62 departments, 67 functions, 134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
      </w:r>
    </w:p>
    <w:p>
      <w:pPr>
        <w:pStyle w:val="Heading3"/>
      </w:pPr>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1001-1009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1010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1011-1019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1020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1021-1029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1030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1031-1039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1041-1049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1051-1059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1061-1069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1071-1079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1080-1099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1100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1110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1120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1130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1140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1150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1160-1199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pPr>
        <w:pStyle w:val="Heading2"/>
      </w:pPr>
      <w:r>
        <w:t xml:space="preserve">60 - Capital Outlay</w:t>
      </w:r>
    </w:p>
    <w:p>
      <w:pPr>
        <w:pStyle w:val="Heading3"/>
      </w:pPr>
      <w:r>
        <w:t xml:space="preserve">01 - Transfers</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02 - Proceeds of Debt</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03 - Sale of Capital Assets</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04 - Equipment/Vehicles</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2026-08-28T08:32:19.687Z</dcterms:created>
  <dcterms:modified xsi:type="dcterms:W3CDTF">2026-08-28T08:32:19.687Z</dcterms:modified>
</cp:coreProperties>
</file>

<file path=docProps/custom.xml><?xml version="1.0" encoding="utf-8"?>
<Properties xmlns="http://schemas.openxmlformats.org/officeDocument/2006/custom-properties" xmlns:vt="http://schemas.openxmlformats.org/officeDocument/2006/docPropsVTypes"/>
</file>