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135 funds, 62 departments, 67 functions, 134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 Manual</w:t>
      </w:r>
    </w:p>
    <w:p>
      <w:r>
        <w:t xml:space="preserve">Prospectus, SCO guidance, and the live CACOA browser in one place.</w:t>
      </w:r>
    </w:p>
    <w:p>
      <w:pPr>
        <w:pStyle w:val="Heading2"/>
      </w:pPr>
      <w:r>
        <w:t xml:space="preserve">Prospectus</w:t>
      </w:r>
    </w:p>
    <w:p>
      <w:r>
        <w:t xml:space="preserve">Executive Summary CACOA is a voluntary, open, MIT-licensed reference framework developed under the GovGlider initiative to enable consistent, transparent, and reusable financial reporting across California public agencies. CACOA is designed to align with GASB principles while remaining implementation-neutral, allowing agencies to retain local accounting practices while achieving standardized reporting outcomes.</w:t>
      </w:r>
    </w:p>
    <w:p>
      <w:r>
        <w:t xml:space="preserve">Purpose and Vision 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Targeted Agencies CACOA is intended for cities, municipalities, special districts, joint powers authorities, and other California public agencies not governed by CDE/SACS requirements. Explicit FTR alignment is targeted to municipalities, while other agencies may adopt CACOA structures and profiles as appropriate.</w:t>
      </w:r>
    </w:p>
    <w:p>
      <w:r>
        <w:t xml:space="preserve">Relationship to GASB and GAAP CACOA supports the application of GAAP as established by GASB. It does not prescribe recognition, measurement, or accounting policy decisions. Instead, it provides a consistent structural framework that aligns with GASB concepts such as fund accountability, measurement focus, and reporting classification. Core Design Principles CACOA separates account structure from reporting structure. Transactions are recorded using local charts of accounts, while CACOA rollups and profiles translate those postings into standardized views.</w:t>
      </w:r>
    </w:p>
    <w:p>
      <w:r>
        <w:t xml:space="preserve">Reporting Profiles CACOA implements four core reporting profiles: Municipal FTR, Budget, ACFR/CAFR, and Management/Operational. Profiles define how accounts are grouped and presented for specific reporting purposes and are reusable and transferable across agencies.</w:t>
      </w:r>
    </w:p>
    <w:p>
      <w:r>
        <w:t xml:space="preserve">Management and Department Dashboarding The Management/Operational profile emphasizes department-level analytics, dashboarding, cost center analysis, and benchmarking. Departments are treated as a first-class analytical dimension independent of statutory reporting constraints.</w:t>
      </w:r>
    </w:p>
    <w:p>
      <w:r>
        <w:t xml:space="preserve">Transferability and Shared Reporting Reporting profiles and rollups may be shared across agencies without requiring identical charts of accounts. This enables peer benchmarking, shared dashboards, and reusable reporting logic while preserving local control.</w:t>
      </w:r>
    </w:p>
    <w:p>
      <w:r>
        <w:t xml:space="preserve">Handling Exceptions and Complexity CACOA recognizes legitimate accounting practices that may not fit neatly into standardized categories. The framework supports documented exceptions, transparency, and professional judgment rather than forced reclassification.</w:t>
      </w:r>
    </w:p>
    <w:p>
      <w:r>
        <w:t xml:space="preserve">Adoption Paths Agencies may adopt CACOA minimally, through mapping, fully, or with local extensions. Each path preserves compatibility with standardized reporting outcomes.</w:t>
      </w:r>
    </w:p>
    <w:p>
      <w:r>
        <w:t xml:space="preserve">Open Standard and Licensing CACOA is published under the MIT License, permitting free use, modification, and redistribution of the framework materials. The license does not apply to agency financial data or proprietary systems.</w:t>
      </w:r>
    </w:p>
    <w:p>
      <w:r>
        <w:t xml:space="preserve">Governance and Stewardship CACOA is maintained as a versioned reference framework. Changes are documented, additive where feasible, and designed to preserve reporting continuity and cross-agency transferability.</w:t>
      </w:r>
    </w:p>
    <w:p>
      <w:r>
        <w:t xml:space="preserve">Conclusion CACOA provides a durable, flexible foundation for improving public-sector financial reporting, transparency, and interoperability across California agencies.</w:t>
      </w:r>
    </w:p>
    <w:p>
      <w:pPr>
        <w:pStyle w:val="Heading2"/>
      </w:pPr>
      <w:r>
        <w:t xml:space="preserve">SCO Alignment </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Chapter 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Chapter 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Chapter 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Chapter 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2"/>
      </w:pPr>
      <w:r>
        <w:t xml:space="preserve">Chapter 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1 - 1</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1001-1009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1010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1011-1019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1020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1021-1029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1030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1031-1039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1041-1049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1051-1059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1061-1069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1071-1079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1080-1099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2 - 2</w:t>
      </w:r>
    </w:p>
    <w:p>
      <w:r>
        <w:t xml:space="preserve">1100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1110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1120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1130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1140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1150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1160-1199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1 - 1</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pPr>
        <w:pStyle w:val="Heading3"/>
      </w:pPr>
      <w:r>
        <w:t xml:space="preserve">2 - 2</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0 - 0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1 - 1</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2 - 2</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3 - 3</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4 - 4</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5 - 5</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6 - 6</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7 - 7</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8 - 8</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9 - 9</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1 - 1</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2 - 2</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pPr>
        <w:pStyle w:val="Heading2"/>
      </w:pPr>
      <w:r>
        <w:t xml:space="preserve">50 - Materials &amp; Services</w:t>
      </w:r>
    </w:p>
    <w:p>
      <w:pPr>
        <w:pStyle w:val="Heading3"/>
      </w:pPr>
      <w:r>
        <w:t xml:space="preserve">1 - 1</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2 - 2</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3 - 3</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pPr>
        <w:pStyle w:val="Heading2"/>
      </w:pPr>
      <w:r>
        <w:t xml:space="preserve">60 - Capital Outlay</w:t>
      </w:r>
    </w:p>
    <w:p>
      <w:pPr>
        <w:pStyle w:val="Heading3"/>
      </w:pPr>
      <w:r>
        <w:t xml:space="preserve">1 - 1</w:t>
      </w:r>
    </w:p>
    <w:p>
      <w:r>
        <w:t xml:space="preserve">6000 Capital Outlay – Land Capital outlay – land includes costs to acquire land and land rights, including purchase price and acquisition-related costs per policy. Accounting: Include closing costs where capitalizable. Track by CIP/project where applicable. Examples: Land purchase; easements acquisition. Exclusions: Land improvements (may be 6020/6010 depending on asset type) and routine maintenance.</w:t>
      </w:r>
    </w:p>
    <w:p>
      <w:pPr>
        <w:pStyle w:val="Heading3"/>
      </w:pPr>
      <w:r>
        <w:t xml:space="preserve">2 - 2</w:t>
      </w:r>
    </w:p>
    <w:p>
      <w:r>
        <w:t xml:space="preserve">6010 Capital Outlay – Buildings Capital outlay – buildings includes acquisition, construction, and major improvements to buildings. Accounting: Track project costs and capitalization eligibility. Coordinate with asset register additions. Examples: Building construction; major remodel; HVAC replacement if capitalized. Exclusions: Routine repairs (5130/5020).</w:t>
      </w:r>
    </w:p>
    <w:p>
      <w:pPr>
        <w:pStyle w:val="Heading3"/>
      </w:pPr>
      <w:r>
        <w:t xml:space="preserve">3 - 3</w:t>
      </w:r>
    </w:p>
    <w:p>
      <w:r>
        <w:t xml:space="preserve">6020 Capital Outlay – Infrastructure Capital outlay – infrastructure includes construction and major improvements to infrastructure systems (streets, utilities, storm drains). Accounting: Track by project; coordinate with grant-funded components and capitalization policies. Examples: Street reconstruction; water line replacement (capital); sewer rehab project. Exclusions: Routine patching/maintenance (5130/5020).</w:t>
      </w:r>
    </w:p>
    <w:p>
      <w:pPr>
        <w:pStyle w:val="Heading3"/>
      </w:pPr>
      <w:r>
        <w:t xml:space="preserve">4 - 4</w:t>
      </w:r>
    </w:p>
    <w:p>
      <w:r>
        <w:t xml:space="preserve">6030 Capital Outlay – Equipment/Vehicles Capital outlay – equipment/vehicles includes capital purchases of equipment, vehicles, and technology that meet capitalization thresholds. Accounting: Apply capitalization policy; tag and record in asset register; separate component purchases if needed. Examples: Fleet vehicle purchase; fire apparatus; servers and major IT hardware (if capitalized). Exclusions: Small tools and supplies below threshold (5000–5099).</w:t>
      </w:r>
    </w:p>
    <w:p>
      <w:pPr>
        <w:pStyle w:val="Heading3"/>
      </w:pPr>
      <w:r>
        <w:t xml:space="preserve">90 - Other Financing — Other/Detail</w:t>
      </w:r>
    </w:p>
    <w:p>
      <w:r>
        <w:t xml:space="preserve">6040-6999 Capital Outlay – Local Detail Reserved local-detail block for capital outlay. Use for CIP components, specialized asset classes, or project phases while preserving rollups. Accounting: Define local capital objects by project type or asset component (design, construction, inspection). Ensure reconciliation to CIP and asset additions. Examples: CIP design costs; construction management; specialized infrastructure components. Exclusions: Operating repairs/maintenance; debt service payments.</w:t>
      </w:r>
    </w:p>
    <w:p>
      <w:pPr>
        <w:pStyle w:val="Heading2"/>
      </w:pPr>
      <w:r>
        <w:t xml:space="preserve">70 - Debt Service</w:t>
      </w:r>
    </w:p>
    <w:p>
      <w:pPr>
        <w:pStyle w:val="Heading3"/>
      </w:pPr>
      <w:r>
        <w:t xml:space="preserve">1 - 1</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2 - 2</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3 - 3</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7030-7999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2"/>
      </w:pPr>
      <w:r>
        <w:t xml:space="preserve">80 - Other Financing Sources/Uses</w:t>
      </w:r>
    </w:p>
    <w:p>
      <w:pPr>
        <w:pStyle w:val="Heading3"/>
      </w:pPr>
      <w:r>
        <w:t xml:space="preserve">1 - 1</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2 - 2</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3 - 3</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8500-8999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2"/>
      </w:pPr>
      <w:r>
        <w:t xml:space="preserve">90 - Control/Non-Posting</w:t>
      </w:r>
    </w:p>
    <w:p>
      <w:pPr>
        <w:pStyle w:val="Heading3"/>
      </w:pPr>
      <w:r>
        <w:t xml:space="preserve">0 - 0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2026-08-28T07:36:33.356Z</dcterms:created>
  <dcterms:modified xsi:type="dcterms:W3CDTF">2026-08-28T07:36:33.356Z</dcterms:modified>
</cp:coreProperties>
</file>

<file path=docProps/custom.xml><?xml version="1.0" encoding="utf-8"?>
<Properties xmlns="http://schemas.openxmlformats.org/officeDocument/2006/custom-properties" xmlns:vt="http://schemas.openxmlformats.org/officeDocument/2006/docPropsVTypes"/>
</file>